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E9E5" w14:textId="77777777" w:rsidR="00E927B7" w:rsidRDefault="00000000">
      <w:pPr>
        <w:spacing w:after="124" w:line="259" w:lineRule="auto"/>
        <w:ind w:left="1785" w:right="0" w:firstLine="0"/>
      </w:pPr>
      <w:r>
        <w:rPr>
          <w:noProof/>
        </w:rPr>
        <w:drawing>
          <wp:inline distT="0" distB="0" distL="0" distR="0" wp14:anchorId="19C55AF4" wp14:editId="433F1416">
            <wp:extent cx="3491103" cy="732155"/>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7"/>
                    <a:stretch>
                      <a:fillRect/>
                    </a:stretch>
                  </pic:blipFill>
                  <pic:spPr>
                    <a:xfrm>
                      <a:off x="0" y="0"/>
                      <a:ext cx="3491103" cy="732155"/>
                    </a:xfrm>
                    <a:prstGeom prst="rect">
                      <a:avLst/>
                    </a:prstGeom>
                  </pic:spPr>
                </pic:pic>
              </a:graphicData>
            </a:graphic>
          </wp:inline>
        </w:drawing>
      </w:r>
      <w:r>
        <w:rPr>
          <w:sz w:val="32"/>
        </w:rPr>
        <w:t xml:space="preserve"> </w:t>
      </w:r>
    </w:p>
    <w:p w14:paraId="1EC3CFBC" w14:textId="77777777" w:rsidR="00E927B7" w:rsidRDefault="00000000" w:rsidP="00F1701E">
      <w:pPr>
        <w:spacing w:after="210" w:line="259" w:lineRule="auto"/>
        <w:ind w:left="0" w:right="317" w:firstLine="0"/>
      </w:pPr>
      <w:r>
        <w:rPr>
          <w:sz w:val="32"/>
        </w:rPr>
        <w:t xml:space="preserve"> </w:t>
      </w:r>
    </w:p>
    <w:p w14:paraId="33072398" w14:textId="3F2BDF5A" w:rsidR="00E927B7" w:rsidRDefault="00144A4A" w:rsidP="001A5C1C">
      <w:pPr>
        <w:spacing w:after="0" w:line="259" w:lineRule="auto"/>
        <w:ind w:left="0" w:right="392" w:firstLine="0"/>
        <w:jc w:val="center"/>
        <w:rPr>
          <w:sz w:val="32"/>
        </w:rPr>
      </w:pPr>
      <w:r>
        <w:rPr>
          <w:sz w:val="32"/>
        </w:rPr>
        <w:t>Building Decarbonization</w:t>
      </w:r>
      <w:r w:rsidR="001A5C1C">
        <w:rPr>
          <w:sz w:val="32"/>
        </w:rPr>
        <w:t xml:space="preserve"> Strategy Game</w:t>
      </w:r>
    </w:p>
    <w:p w14:paraId="377AF1C0" w14:textId="77777777" w:rsidR="001A5C1C" w:rsidRPr="001A5C1C" w:rsidRDefault="001A5C1C" w:rsidP="001A5C1C">
      <w:pPr>
        <w:spacing w:after="0" w:line="259" w:lineRule="auto"/>
        <w:ind w:left="0" w:right="392" w:firstLine="0"/>
        <w:jc w:val="center"/>
        <w:rPr>
          <w:sz w:val="16"/>
          <w:szCs w:val="16"/>
        </w:rPr>
      </w:pPr>
    </w:p>
    <w:p w14:paraId="33ED4AF2" w14:textId="27265EB3" w:rsidR="00E927B7" w:rsidRDefault="001A5C1C" w:rsidP="00E37CAC">
      <w:pPr>
        <w:pStyle w:val="Heading1"/>
        <w:ind w:left="0" w:firstLine="0"/>
        <w:rPr>
          <w:caps/>
          <w:sz w:val="28"/>
          <w:szCs w:val="32"/>
        </w:rPr>
      </w:pPr>
      <w:r w:rsidRPr="00E37CAC">
        <w:rPr>
          <w:caps/>
          <w:sz w:val="28"/>
          <w:szCs w:val="32"/>
        </w:rPr>
        <w:t>Facilitator’s Guide</w:t>
      </w:r>
    </w:p>
    <w:p w14:paraId="110B8098" w14:textId="77777777" w:rsidR="0040639E" w:rsidRDefault="0040639E" w:rsidP="0040639E">
      <w:pPr>
        <w:ind w:left="0" w:firstLine="0"/>
        <w:rPr>
          <w:lang w:bidi="ar-SA"/>
        </w:rPr>
      </w:pPr>
    </w:p>
    <w:p w14:paraId="07DC5E7F" w14:textId="77777777" w:rsidR="0040639E" w:rsidRDefault="0040639E" w:rsidP="0040639E">
      <w:pPr>
        <w:ind w:left="0" w:firstLine="0"/>
        <w:rPr>
          <w:lang w:bidi="ar-SA"/>
        </w:rPr>
      </w:pPr>
    </w:p>
    <w:p w14:paraId="048B55C4" w14:textId="54D8824C" w:rsidR="0040639E" w:rsidRDefault="0040639E" w:rsidP="0040639E">
      <w:pPr>
        <w:rPr>
          <w:lang w:bidi="ar-SA"/>
        </w:rPr>
      </w:pPr>
      <w:r>
        <w:rPr>
          <w:lang w:bidi="ar-SA"/>
        </w:rPr>
        <w:t xml:space="preserve">Clay </w:t>
      </w:r>
      <w:proofErr w:type="spellStart"/>
      <w:r>
        <w:rPr>
          <w:lang w:bidi="ar-SA"/>
        </w:rPr>
        <w:t>Nesler</w:t>
      </w:r>
      <w:proofErr w:type="spellEnd"/>
    </w:p>
    <w:p w14:paraId="225302C0" w14:textId="543D49C9" w:rsidR="0040639E" w:rsidRDefault="0040639E" w:rsidP="0040639E">
      <w:pPr>
        <w:rPr>
          <w:lang w:bidi="ar-SA"/>
        </w:rPr>
      </w:pPr>
      <w:r>
        <w:rPr>
          <w:lang w:bidi="ar-SA"/>
        </w:rPr>
        <w:t xml:space="preserve">Founder, The </w:t>
      </w:r>
      <w:proofErr w:type="spellStart"/>
      <w:r>
        <w:rPr>
          <w:lang w:bidi="ar-SA"/>
        </w:rPr>
        <w:t>Nesler</w:t>
      </w:r>
      <w:proofErr w:type="spellEnd"/>
      <w:r>
        <w:rPr>
          <w:lang w:bidi="ar-SA"/>
        </w:rPr>
        <w:t xml:space="preserve"> Group</w:t>
      </w:r>
    </w:p>
    <w:p w14:paraId="75B9670D" w14:textId="786410FD" w:rsidR="0040639E" w:rsidRPr="0040639E" w:rsidRDefault="0040639E" w:rsidP="0040639E">
      <w:pPr>
        <w:rPr>
          <w:lang w:bidi="ar-SA"/>
        </w:rPr>
      </w:pPr>
      <w:r>
        <w:rPr>
          <w:lang w:bidi="ar-SA"/>
        </w:rPr>
        <w:t>clay@neslergroup.com</w:t>
      </w:r>
    </w:p>
    <w:p w14:paraId="3160FFC1" w14:textId="77777777" w:rsidR="00E927B7" w:rsidRDefault="00000000">
      <w:pPr>
        <w:spacing w:after="0" w:line="259" w:lineRule="auto"/>
        <w:ind w:left="0" w:right="0" w:firstLine="0"/>
      </w:pPr>
      <w:r>
        <w:rPr>
          <w:b/>
        </w:rPr>
        <w:t xml:space="preserve"> </w:t>
      </w:r>
    </w:p>
    <w:p w14:paraId="714060C8" w14:textId="3472695F" w:rsidR="00E927B7" w:rsidRPr="0016115D" w:rsidRDefault="00E37CAC">
      <w:pPr>
        <w:spacing w:after="0" w:line="259" w:lineRule="auto"/>
        <w:ind w:left="0" w:right="0" w:firstLine="0"/>
        <w:rPr>
          <w:u w:val="single"/>
        </w:rPr>
      </w:pPr>
      <w:r>
        <w:rPr>
          <w:u w:val="single"/>
        </w:rPr>
        <w:t>Overview</w:t>
      </w:r>
    </w:p>
    <w:p w14:paraId="4F57D1F7" w14:textId="771EC133" w:rsidR="00144A4A" w:rsidRDefault="00144A4A">
      <w:pPr>
        <w:spacing w:after="0" w:line="259" w:lineRule="auto"/>
        <w:ind w:left="0" w:right="0" w:firstLine="0"/>
      </w:pPr>
    </w:p>
    <w:p w14:paraId="4ABC06B6" w14:textId="53F393A5" w:rsidR="00E37CAC" w:rsidRDefault="00E37CAC" w:rsidP="00E37CAC">
      <w:pPr>
        <w:tabs>
          <w:tab w:val="num" w:pos="720"/>
        </w:tabs>
        <w:spacing w:after="0" w:line="259" w:lineRule="auto"/>
        <w:ind w:left="0" w:right="0" w:firstLine="0"/>
      </w:pPr>
      <w:r w:rsidRPr="00E37CAC">
        <w:t xml:space="preserve">The Building Decarbonization Strategy Game was developed by the ASHRAE Taskforce for Building Decarbonization as a fun, interactive group educational activity to learn about </w:t>
      </w:r>
      <w:r>
        <w:t xml:space="preserve">building </w:t>
      </w:r>
      <w:r w:rsidRPr="00E37CAC">
        <w:t xml:space="preserve">industry drivers and best practices </w:t>
      </w:r>
      <w:r>
        <w:t>related to</w:t>
      </w:r>
      <w:r w:rsidRPr="00E37CAC">
        <w:t xml:space="preserve"> building decarbonization.</w:t>
      </w:r>
    </w:p>
    <w:p w14:paraId="74ACB7CB" w14:textId="77777777" w:rsidR="00E37CAC" w:rsidRPr="00E37CAC" w:rsidRDefault="00E37CAC" w:rsidP="00E37CAC">
      <w:pPr>
        <w:tabs>
          <w:tab w:val="num" w:pos="720"/>
        </w:tabs>
        <w:spacing w:after="0" w:line="259" w:lineRule="auto"/>
        <w:ind w:left="0" w:right="0" w:firstLine="0"/>
      </w:pPr>
    </w:p>
    <w:p w14:paraId="6522C509" w14:textId="2113EE25" w:rsidR="00E37CAC" w:rsidRPr="00E37CAC" w:rsidRDefault="00E37CAC" w:rsidP="00E37CAC">
      <w:pPr>
        <w:tabs>
          <w:tab w:val="num" w:pos="720"/>
        </w:tabs>
        <w:spacing w:after="0" w:line="259" w:lineRule="auto"/>
        <w:ind w:left="0" w:right="0" w:firstLine="0"/>
      </w:pPr>
      <w:r w:rsidRPr="00E37CAC">
        <w:t>During the game, participants working individually (or in teams) first rank 10 building decarbonization market drivers for based on relative importance.  Participants then rank 15 building decarbonization practices (related to project design, development, and construction) and 20 decarbonization measures (covering energy efficiency, facility management and renewable energy) based on relative impact.</w:t>
      </w:r>
    </w:p>
    <w:p w14:paraId="68ADDE0A" w14:textId="77777777" w:rsidR="00E37CAC" w:rsidRDefault="00E37CAC" w:rsidP="00E37CAC">
      <w:pPr>
        <w:tabs>
          <w:tab w:val="num" w:pos="720"/>
        </w:tabs>
        <w:spacing w:after="0" w:line="259" w:lineRule="auto"/>
        <w:ind w:left="0" w:right="0" w:firstLine="0"/>
      </w:pPr>
    </w:p>
    <w:p w14:paraId="258FFD93" w14:textId="37950F8E" w:rsidR="00144A4A" w:rsidRDefault="00E37CAC" w:rsidP="00E37CAC">
      <w:pPr>
        <w:tabs>
          <w:tab w:val="num" w:pos="720"/>
        </w:tabs>
        <w:spacing w:after="0" w:line="259" w:lineRule="auto"/>
        <w:ind w:left="0" w:right="0" w:firstLine="0"/>
      </w:pPr>
      <w:r w:rsidRPr="00E37CAC">
        <w:t xml:space="preserve">Participant rankings are compared to rankings from a survey of over 50 ASHRAE </w:t>
      </w:r>
      <w:r>
        <w:t>T</w:t>
      </w:r>
      <w:r w:rsidRPr="00E37CAC">
        <w:t xml:space="preserve">ask </w:t>
      </w:r>
      <w:r>
        <w:t>F</w:t>
      </w:r>
      <w:r w:rsidRPr="00E37CAC">
        <w:t xml:space="preserve">orce </w:t>
      </w:r>
      <w:r>
        <w:t xml:space="preserve">for Building Decarbonization (TFBD) Executive Committee and Working Group </w:t>
      </w:r>
      <w:r w:rsidRPr="00E37CAC">
        <w:t xml:space="preserve">members and the individual (or team) with the lowest score (i.e., </w:t>
      </w:r>
      <w:r>
        <w:t xml:space="preserve">smallest </w:t>
      </w:r>
      <w:r w:rsidRPr="00E37CAC">
        <w:t xml:space="preserve">difference in </w:t>
      </w:r>
      <w:r>
        <w:t xml:space="preserve">importance and impact </w:t>
      </w:r>
      <w:r w:rsidRPr="00E37CAC">
        <w:t>ranking) wins the game...and a prize!</w:t>
      </w:r>
    </w:p>
    <w:p w14:paraId="7387265B" w14:textId="77777777" w:rsidR="00E37CAC" w:rsidRDefault="00E37CAC" w:rsidP="00144A4A">
      <w:pPr>
        <w:tabs>
          <w:tab w:val="num" w:pos="720"/>
        </w:tabs>
        <w:spacing w:after="0" w:line="259" w:lineRule="auto"/>
        <w:ind w:left="0" w:right="0" w:firstLine="0"/>
        <w:rPr>
          <w:u w:val="single"/>
        </w:rPr>
      </w:pPr>
    </w:p>
    <w:p w14:paraId="024E4DBA" w14:textId="15CE27B4" w:rsidR="001A5C1C" w:rsidRDefault="00E37CAC" w:rsidP="0075359A">
      <w:pPr>
        <w:tabs>
          <w:tab w:val="num" w:pos="720"/>
        </w:tabs>
        <w:spacing w:after="0" w:line="259" w:lineRule="auto"/>
        <w:ind w:left="0" w:right="0" w:firstLine="0"/>
        <w:rPr>
          <w:u w:val="single"/>
        </w:rPr>
      </w:pPr>
      <w:r>
        <w:rPr>
          <w:u w:val="single"/>
        </w:rPr>
        <w:t>Background</w:t>
      </w:r>
    </w:p>
    <w:p w14:paraId="4A39A99E" w14:textId="77777777" w:rsidR="00E37CAC" w:rsidRDefault="00E37CAC" w:rsidP="0075359A">
      <w:pPr>
        <w:tabs>
          <w:tab w:val="num" w:pos="720"/>
        </w:tabs>
        <w:spacing w:after="0" w:line="259" w:lineRule="auto"/>
        <w:ind w:left="0" w:right="0" w:firstLine="0"/>
        <w:rPr>
          <w:u w:val="single"/>
        </w:rPr>
      </w:pPr>
    </w:p>
    <w:p w14:paraId="12CB2429" w14:textId="6CFCC2F1" w:rsidR="00E37CAC" w:rsidRDefault="00E37CAC" w:rsidP="00E37CAC">
      <w:pPr>
        <w:tabs>
          <w:tab w:val="num" w:pos="720"/>
        </w:tabs>
        <w:spacing w:after="0" w:line="259" w:lineRule="auto"/>
        <w:ind w:left="0" w:right="0" w:firstLine="0"/>
      </w:pPr>
      <w:r w:rsidRPr="00E37CAC">
        <w:t xml:space="preserve">The Building Decarbonization Strategy Game was initially developed for a panel session at the 2023 </w:t>
      </w:r>
      <w:r>
        <w:t xml:space="preserve">ASHRAE </w:t>
      </w:r>
      <w:r w:rsidRPr="00E37CAC">
        <w:t xml:space="preserve">Annual Meeting in Tampa, FL.  It has been significantly refined since the first “playing” and has been </w:t>
      </w:r>
      <w:r>
        <w:t>facilitated</w:t>
      </w:r>
      <w:r w:rsidRPr="00E37CAC">
        <w:t xml:space="preserve"> at chapter meetings and industry events by four different members of the ASHRAE TFBD Executive Committee.  The following </w:t>
      </w:r>
      <w:r>
        <w:t>facilitator’s guidance is</w:t>
      </w:r>
      <w:r w:rsidRPr="00E37CAC">
        <w:t xml:space="preserve"> provided based on feedback from these initial sessions.</w:t>
      </w:r>
    </w:p>
    <w:p w14:paraId="52F19760" w14:textId="77777777" w:rsidR="00E37CAC" w:rsidRDefault="00E37CAC" w:rsidP="00E37CAC">
      <w:pPr>
        <w:tabs>
          <w:tab w:val="num" w:pos="720"/>
        </w:tabs>
        <w:spacing w:after="0" w:line="259" w:lineRule="auto"/>
        <w:ind w:left="0" w:right="0" w:firstLine="0"/>
      </w:pPr>
    </w:p>
    <w:p w14:paraId="355B82A9" w14:textId="4355BB38" w:rsidR="003433FD" w:rsidRPr="00FF64A2" w:rsidRDefault="00E37CAC" w:rsidP="003433FD">
      <w:pPr>
        <w:tabs>
          <w:tab w:val="num" w:pos="720"/>
        </w:tabs>
        <w:spacing w:after="0" w:line="259" w:lineRule="auto"/>
        <w:ind w:left="0" w:right="0" w:firstLine="0"/>
        <w:rPr>
          <w:rFonts w:cs="Calibri (Body)"/>
        </w:rPr>
      </w:pPr>
      <w:r>
        <w:rPr>
          <w:rFonts w:cs="Calibri (Body)"/>
        </w:rPr>
        <w:t>The game can be “played” in-person or virtually, in large or small group settings, competing either individually or in teams.  When played individually, the game takes about 45 minutes to complete.  When played in small groups, additional time is needed for the group to discuss - and agree on – their consensus ranking of each group of five industry drivers or practices.  While either approach is educational, discussing the industry drivers and best practices with industry peers can be more engaging and informative.</w:t>
      </w:r>
      <w:r w:rsidR="00FF64A2">
        <w:rPr>
          <w:rFonts w:cs="Calibri (Body)"/>
        </w:rPr>
        <w:t xml:space="preserve">  </w:t>
      </w:r>
      <w:r w:rsidR="003433FD">
        <w:rPr>
          <w:rFonts w:cs="Calibri (Body)"/>
        </w:rPr>
        <w:t xml:space="preserve">Facilitators can include supplemental presentation content before or after the game </w:t>
      </w:r>
      <w:r w:rsidR="003433FD">
        <w:rPr>
          <w:rFonts w:cs="Calibri (Body)"/>
        </w:rPr>
        <w:lastRenderedPageBreak/>
        <w:t>content, including background slides on building decarbonization or information on building decarbonization resources.</w:t>
      </w:r>
    </w:p>
    <w:p w14:paraId="00F6CA15" w14:textId="77777777" w:rsidR="00FF64A2" w:rsidRDefault="00FF64A2" w:rsidP="00E37CAC">
      <w:pPr>
        <w:tabs>
          <w:tab w:val="num" w:pos="720"/>
        </w:tabs>
        <w:spacing w:after="0" w:line="259" w:lineRule="auto"/>
        <w:ind w:left="0" w:right="0" w:firstLine="0"/>
        <w:rPr>
          <w:rFonts w:cs="Calibri (Body)"/>
          <w:u w:val="single"/>
        </w:rPr>
      </w:pPr>
    </w:p>
    <w:p w14:paraId="161A0B0D" w14:textId="51A9FA5E" w:rsidR="000F60C5" w:rsidRPr="000F60C5" w:rsidRDefault="000F60C5" w:rsidP="00E37CAC">
      <w:pPr>
        <w:tabs>
          <w:tab w:val="num" w:pos="720"/>
        </w:tabs>
        <w:spacing w:after="0" w:line="259" w:lineRule="auto"/>
        <w:ind w:left="0" w:right="0" w:firstLine="0"/>
        <w:rPr>
          <w:rFonts w:cs="Calibri (Body)"/>
          <w:u w:val="single"/>
        </w:rPr>
      </w:pPr>
      <w:r>
        <w:rPr>
          <w:rFonts w:cs="Calibri (Body)"/>
          <w:u w:val="single"/>
        </w:rPr>
        <w:t>Introduction</w:t>
      </w:r>
    </w:p>
    <w:p w14:paraId="45B5CC08" w14:textId="77777777" w:rsidR="00433605" w:rsidRDefault="00433605" w:rsidP="00E37CAC">
      <w:pPr>
        <w:tabs>
          <w:tab w:val="num" w:pos="720"/>
        </w:tabs>
        <w:spacing w:after="0" w:line="259" w:lineRule="auto"/>
        <w:ind w:left="0" w:right="0" w:firstLine="0"/>
        <w:rPr>
          <w:rFonts w:cs="Calibri (Body)"/>
        </w:rPr>
      </w:pPr>
    </w:p>
    <w:p w14:paraId="075B5256" w14:textId="73FCF18D" w:rsidR="000F60C5" w:rsidRDefault="000F60C5" w:rsidP="00E37CAC">
      <w:pPr>
        <w:tabs>
          <w:tab w:val="num" w:pos="720"/>
        </w:tabs>
        <w:spacing w:after="0" w:line="259" w:lineRule="auto"/>
        <w:ind w:left="0" w:right="0" w:firstLine="0"/>
        <w:rPr>
          <w:rFonts w:cs="Calibri (Body)"/>
        </w:rPr>
      </w:pPr>
      <w:r>
        <w:rPr>
          <w:rFonts w:cs="Calibri (Body)"/>
        </w:rPr>
        <w:t xml:space="preserve">At the beginning of the session, pass out one copy of the scoring sheet and the decarbonization practice definitions to each participant (included in </w:t>
      </w:r>
      <w:r w:rsidR="00FF0F03">
        <w:rPr>
          <w:rFonts w:cs="Calibri (Body)"/>
        </w:rPr>
        <w:t>A</w:t>
      </w:r>
      <w:r>
        <w:rPr>
          <w:rFonts w:cs="Calibri (Body)"/>
        </w:rPr>
        <w:t>ppendix</w:t>
      </w:r>
      <w:r w:rsidR="00FF0F03">
        <w:rPr>
          <w:rFonts w:cs="Calibri (Body)"/>
        </w:rPr>
        <w:t xml:space="preserve"> C and D</w:t>
      </w:r>
      <w:r>
        <w:rPr>
          <w:rFonts w:cs="Calibri (Body)"/>
        </w:rPr>
        <w:t>).  Slide 2 is an overview of the game and slide 3 shows the two handouts.  Slide 4 is the transition to the game.</w:t>
      </w:r>
    </w:p>
    <w:p w14:paraId="65862634" w14:textId="77777777" w:rsidR="000F60C5" w:rsidRDefault="000F60C5" w:rsidP="00E37CAC">
      <w:pPr>
        <w:tabs>
          <w:tab w:val="num" w:pos="720"/>
        </w:tabs>
        <w:spacing w:after="0" w:line="259" w:lineRule="auto"/>
        <w:ind w:left="0" w:right="0" w:firstLine="0"/>
        <w:rPr>
          <w:rFonts w:cs="Calibri (Body)"/>
        </w:rPr>
      </w:pPr>
    </w:p>
    <w:p w14:paraId="20A97056" w14:textId="62F27721" w:rsidR="000F60C5" w:rsidRDefault="000F60C5" w:rsidP="00E37CAC">
      <w:pPr>
        <w:tabs>
          <w:tab w:val="num" w:pos="720"/>
        </w:tabs>
        <w:spacing w:after="0" w:line="259" w:lineRule="auto"/>
        <w:ind w:left="0" w:right="0" w:firstLine="0"/>
        <w:rPr>
          <w:rFonts w:cs="Calibri (Body)"/>
        </w:rPr>
      </w:pPr>
      <w:r w:rsidRPr="000F60C5">
        <w:rPr>
          <w:rFonts w:cs="Calibri (Body)"/>
          <w:b/>
          <w:bCs/>
        </w:rPr>
        <w:t>IMPORTANT</w:t>
      </w:r>
      <w:r>
        <w:rPr>
          <w:rFonts w:cs="Calibri (Body)"/>
        </w:rPr>
        <w:t xml:space="preserve"> – DO NOT distribute copies of the slides to the game participants prior to the session as the presentation includes the answers for </w:t>
      </w:r>
      <w:r w:rsidR="003433FD">
        <w:rPr>
          <w:rFonts w:cs="Calibri (Body)"/>
        </w:rPr>
        <w:t>the game</w:t>
      </w:r>
      <w:r>
        <w:rPr>
          <w:rFonts w:cs="Calibri (Body)"/>
        </w:rPr>
        <w:t>.  The game objective is to guess the relative ranking of each driver or practice in each section, and they are reviewed after every participant (or team) has recorded their guesses on their scoring sheet.</w:t>
      </w:r>
      <w:r w:rsidR="003433FD">
        <w:rPr>
          <w:rFonts w:cs="Calibri (Body)"/>
        </w:rPr>
        <w:t xml:space="preserve">  </w:t>
      </w:r>
    </w:p>
    <w:p w14:paraId="1E2C3915" w14:textId="77777777" w:rsidR="000F60C5" w:rsidRDefault="000F60C5" w:rsidP="00E37CAC">
      <w:pPr>
        <w:tabs>
          <w:tab w:val="num" w:pos="720"/>
        </w:tabs>
        <w:spacing w:after="0" w:line="259" w:lineRule="auto"/>
        <w:ind w:left="0" w:right="0" w:firstLine="0"/>
        <w:rPr>
          <w:rFonts w:cs="Calibri (Body)"/>
        </w:rPr>
      </w:pPr>
    </w:p>
    <w:p w14:paraId="298AC1A3" w14:textId="08E754CE" w:rsidR="000F60C5" w:rsidRPr="000F60C5" w:rsidRDefault="000F60C5" w:rsidP="00E37CAC">
      <w:pPr>
        <w:tabs>
          <w:tab w:val="num" w:pos="720"/>
        </w:tabs>
        <w:spacing w:after="0" w:line="259" w:lineRule="auto"/>
        <w:ind w:left="0" w:right="0" w:firstLine="0"/>
        <w:rPr>
          <w:rFonts w:cs="Calibri (Body)"/>
          <w:u w:val="single"/>
        </w:rPr>
      </w:pPr>
      <w:r w:rsidRPr="000F60C5">
        <w:rPr>
          <w:rFonts w:cs="Calibri (Body)"/>
          <w:u w:val="single"/>
        </w:rPr>
        <w:t>Industry Driver Prioritization</w:t>
      </w:r>
    </w:p>
    <w:p w14:paraId="59F58B89" w14:textId="77777777" w:rsidR="00433605" w:rsidRDefault="00433605" w:rsidP="00E37CAC">
      <w:pPr>
        <w:tabs>
          <w:tab w:val="num" w:pos="720"/>
        </w:tabs>
        <w:spacing w:after="0" w:line="259" w:lineRule="auto"/>
        <w:ind w:left="0" w:right="0" w:firstLine="0"/>
        <w:rPr>
          <w:rFonts w:cs="Calibri (Body)"/>
        </w:rPr>
      </w:pPr>
    </w:p>
    <w:p w14:paraId="6ACC66B2" w14:textId="178CF664" w:rsidR="00F1701E" w:rsidRDefault="000F60C5" w:rsidP="00E37CAC">
      <w:pPr>
        <w:tabs>
          <w:tab w:val="num" w:pos="720"/>
        </w:tabs>
        <w:spacing w:after="0" w:line="259" w:lineRule="auto"/>
        <w:ind w:left="0" w:right="0" w:firstLine="0"/>
        <w:rPr>
          <w:rFonts w:cs="Calibri (Body)"/>
        </w:rPr>
      </w:pPr>
      <w:r>
        <w:rPr>
          <w:rFonts w:cs="Calibri (Body)"/>
        </w:rPr>
        <w:t xml:space="preserve">Slide 5 lists the first set of five industry drivers.  The participants (or teams) </w:t>
      </w:r>
      <w:r w:rsidR="003433FD">
        <w:rPr>
          <w:rFonts w:cs="Calibri (Body)"/>
        </w:rPr>
        <w:t xml:space="preserve">rank these environmental drivers from highest (1) to lowest (5) in terms of the </w:t>
      </w:r>
      <w:r w:rsidR="003433FD" w:rsidRPr="003433FD">
        <w:rPr>
          <w:rFonts w:cs="Calibri (Body)"/>
          <w:b/>
          <w:bCs/>
        </w:rPr>
        <w:t>relative</w:t>
      </w:r>
      <w:r w:rsidR="003433FD">
        <w:rPr>
          <w:rFonts w:cs="Calibri (Body)"/>
        </w:rPr>
        <w:t xml:space="preserve"> </w:t>
      </w:r>
      <w:r w:rsidR="003433FD" w:rsidRPr="003433FD">
        <w:rPr>
          <w:rFonts w:cs="Calibri (Body)"/>
          <w:b/>
          <w:bCs/>
        </w:rPr>
        <w:t xml:space="preserve">importance to the </w:t>
      </w:r>
      <w:r w:rsidR="003433FD">
        <w:rPr>
          <w:rFonts w:cs="Calibri (Body)"/>
          <w:b/>
          <w:bCs/>
        </w:rPr>
        <w:t xml:space="preserve">buildings </w:t>
      </w:r>
      <w:r w:rsidR="003433FD" w:rsidRPr="003433FD">
        <w:rPr>
          <w:rFonts w:cs="Calibri (Body)"/>
          <w:b/>
          <w:bCs/>
        </w:rPr>
        <w:t>industry as a whole</w:t>
      </w:r>
      <w:r w:rsidR="003433FD">
        <w:rPr>
          <w:rFonts w:cs="Calibri (Body)"/>
        </w:rPr>
        <w:t>.  The facilitator should mention that the ranking is not based on the relative importance to the participant, the participant’s organization or to ASHRAE but instead to the buildings industry as a whole.  Slide 6 shows how to record your (individual or team) ranking on the scoring sheet</w:t>
      </w:r>
      <w:r w:rsidR="00F1701E">
        <w:rPr>
          <w:rFonts w:cs="Calibri (Body)"/>
        </w:rPr>
        <w:t>.</w:t>
      </w:r>
    </w:p>
    <w:p w14:paraId="15B463D3" w14:textId="77777777" w:rsidR="00F1701E" w:rsidRDefault="00F1701E" w:rsidP="00E37CAC">
      <w:pPr>
        <w:tabs>
          <w:tab w:val="num" w:pos="720"/>
        </w:tabs>
        <w:spacing w:after="0" w:line="259" w:lineRule="auto"/>
        <w:ind w:left="0" w:right="0" w:firstLine="0"/>
        <w:rPr>
          <w:rFonts w:cs="Calibri (Body)"/>
        </w:rPr>
      </w:pPr>
    </w:p>
    <w:p w14:paraId="736F5937" w14:textId="09F52D66" w:rsidR="00FE3956" w:rsidRDefault="00F1701E" w:rsidP="00E37CAC">
      <w:pPr>
        <w:tabs>
          <w:tab w:val="num" w:pos="720"/>
        </w:tabs>
        <w:spacing w:after="0" w:line="259" w:lineRule="auto"/>
        <w:ind w:left="0" w:right="0" w:firstLine="0"/>
        <w:rPr>
          <w:rFonts w:cs="Calibri (Body)"/>
        </w:rPr>
      </w:pPr>
      <w:r>
        <w:rPr>
          <w:rFonts w:cs="Calibri (Body)"/>
        </w:rPr>
        <w:t>S</w:t>
      </w:r>
      <w:r w:rsidR="003433FD">
        <w:rPr>
          <w:rFonts w:cs="Calibri (Body)"/>
        </w:rPr>
        <w:t>lide 7 shows the relative importance of the drivers from the TFBD survey and their relative ranking based on importance.</w:t>
      </w:r>
      <w:r>
        <w:rPr>
          <w:rFonts w:cs="Calibri (Body)"/>
        </w:rPr>
        <w:t xml:space="preserve"> </w:t>
      </w:r>
      <w:r w:rsidR="00FE3956" w:rsidRPr="00FE3956">
        <w:rPr>
          <w:rFonts w:cs="Calibri (Body)"/>
          <w:b/>
          <w:bCs/>
        </w:rPr>
        <w:t xml:space="preserve">It is important to mention that the TFBD survey results do not necessarily represent the “correct answers” </w:t>
      </w:r>
      <w:r w:rsidR="00FE3956" w:rsidRPr="00FE3956">
        <w:rPr>
          <w:rFonts w:cs="Calibri (Body)"/>
        </w:rPr>
        <w:t>but instead provide a proxy indication of industry consensus.</w:t>
      </w:r>
      <w:r w:rsidR="00FE3956">
        <w:rPr>
          <w:rFonts w:cs="Calibri (Body)"/>
        </w:rPr>
        <w:t xml:space="preserve">  The survey results provide the basis for the Family Feud TV show’s “survey says...” scoring approach.  </w:t>
      </w:r>
      <w:r>
        <w:rPr>
          <w:rFonts w:cs="Calibri (Body)"/>
        </w:rPr>
        <w:t xml:space="preserve">It is </w:t>
      </w:r>
      <w:r w:rsidR="00FE3956">
        <w:rPr>
          <w:rFonts w:cs="Calibri (Body)"/>
        </w:rPr>
        <w:t xml:space="preserve">also </w:t>
      </w:r>
      <w:r>
        <w:rPr>
          <w:rFonts w:cs="Calibri (Body)"/>
        </w:rPr>
        <w:t xml:space="preserve">good to mention that there is </w:t>
      </w:r>
      <w:r w:rsidR="00FE3956">
        <w:rPr>
          <w:rFonts w:cs="Calibri (Body)"/>
        </w:rPr>
        <w:t>sometimes</w:t>
      </w:r>
      <w:r>
        <w:rPr>
          <w:rFonts w:cs="Calibri (Body)"/>
        </w:rPr>
        <w:t xml:space="preserve"> a </w:t>
      </w:r>
      <w:r w:rsidR="00FE3956">
        <w:rPr>
          <w:rFonts w:cs="Calibri (Body)"/>
        </w:rPr>
        <w:t xml:space="preserve">relatively </w:t>
      </w:r>
      <w:r>
        <w:rPr>
          <w:rFonts w:cs="Calibri (Body)"/>
        </w:rPr>
        <w:t xml:space="preserve">small difference in the relative importance rating (1-5 scale) between consecutively ranked drivers.  </w:t>
      </w:r>
      <w:r w:rsidR="00FE3956" w:rsidRPr="00FE3956">
        <w:rPr>
          <w:rFonts w:cs="Calibri (Body)"/>
          <w:b/>
          <w:bCs/>
        </w:rPr>
        <w:t>This strategy game is an educational exercise, and not the presentation of scientific research, and the survey results should be viewed from that perspective.</w:t>
      </w:r>
    </w:p>
    <w:p w14:paraId="594A9EA5" w14:textId="77777777" w:rsidR="00FE3956" w:rsidRDefault="00FE3956" w:rsidP="00E37CAC">
      <w:pPr>
        <w:tabs>
          <w:tab w:val="num" w:pos="720"/>
        </w:tabs>
        <w:spacing w:after="0" w:line="259" w:lineRule="auto"/>
        <w:ind w:left="0" w:right="0" w:firstLine="0"/>
        <w:rPr>
          <w:rFonts w:cs="Calibri (Body)"/>
        </w:rPr>
      </w:pPr>
    </w:p>
    <w:p w14:paraId="13B34323" w14:textId="7E067886" w:rsidR="00E37CAC" w:rsidRDefault="003433FD" w:rsidP="00E37CAC">
      <w:pPr>
        <w:tabs>
          <w:tab w:val="num" w:pos="720"/>
        </w:tabs>
        <w:spacing w:after="0" w:line="259" w:lineRule="auto"/>
        <w:ind w:left="0" w:right="0" w:firstLine="0"/>
        <w:rPr>
          <w:rFonts w:cs="Calibri (Body)"/>
        </w:rPr>
      </w:pPr>
      <w:r>
        <w:rPr>
          <w:rFonts w:cs="Calibri (Body)"/>
        </w:rPr>
        <w:t>Participants should complete the scoring sheet for the first set of drivers and compute their score, which is the absolute value of the difference between their ranking and the TFBD ranking.  Slides 8 and 9 include the last set of industry drivers, which are organizational in nature.</w:t>
      </w:r>
    </w:p>
    <w:p w14:paraId="289541E7" w14:textId="77777777" w:rsidR="003433FD" w:rsidRDefault="003433FD" w:rsidP="00E37CAC">
      <w:pPr>
        <w:tabs>
          <w:tab w:val="num" w:pos="720"/>
        </w:tabs>
        <w:spacing w:after="0" w:line="259" w:lineRule="auto"/>
        <w:ind w:left="0" w:right="0" w:firstLine="0"/>
        <w:rPr>
          <w:rFonts w:cs="Calibri (Body)"/>
        </w:rPr>
      </w:pPr>
    </w:p>
    <w:p w14:paraId="164DEF53" w14:textId="78923732" w:rsidR="003433FD" w:rsidRDefault="003433FD" w:rsidP="003433FD">
      <w:pPr>
        <w:tabs>
          <w:tab w:val="num" w:pos="720"/>
        </w:tabs>
        <w:spacing w:after="0" w:line="259" w:lineRule="auto"/>
        <w:ind w:left="0" w:right="0" w:firstLine="0"/>
        <w:rPr>
          <w:rFonts w:cs="Calibri (Body)"/>
          <w:u w:val="single"/>
        </w:rPr>
      </w:pPr>
      <w:r>
        <w:rPr>
          <w:rFonts w:cs="Calibri (Body)"/>
          <w:u w:val="single"/>
        </w:rPr>
        <w:t>Building Decarbonization</w:t>
      </w:r>
      <w:r w:rsidRPr="000F60C5">
        <w:rPr>
          <w:rFonts w:cs="Calibri (Body)"/>
          <w:u w:val="single"/>
        </w:rPr>
        <w:t xml:space="preserve"> </w:t>
      </w:r>
      <w:r>
        <w:rPr>
          <w:rFonts w:cs="Calibri (Body)"/>
          <w:u w:val="single"/>
        </w:rPr>
        <w:t>Practices</w:t>
      </w:r>
      <w:r w:rsidRPr="000F60C5">
        <w:rPr>
          <w:rFonts w:cs="Calibri (Body)"/>
          <w:u w:val="single"/>
        </w:rPr>
        <w:t xml:space="preserve"> Prioritization</w:t>
      </w:r>
    </w:p>
    <w:p w14:paraId="6587751B" w14:textId="77777777" w:rsidR="003433FD" w:rsidRDefault="003433FD" w:rsidP="003433FD">
      <w:pPr>
        <w:tabs>
          <w:tab w:val="num" w:pos="720"/>
        </w:tabs>
        <w:spacing w:after="0" w:line="259" w:lineRule="auto"/>
        <w:ind w:left="0" w:right="0" w:firstLine="0"/>
        <w:rPr>
          <w:rFonts w:cs="Calibri (Body)"/>
          <w:u w:val="single"/>
        </w:rPr>
      </w:pPr>
    </w:p>
    <w:p w14:paraId="6B9EEAD0" w14:textId="77777777" w:rsidR="003433FD" w:rsidRDefault="003433FD" w:rsidP="003433FD">
      <w:pPr>
        <w:tabs>
          <w:tab w:val="num" w:pos="720"/>
        </w:tabs>
        <w:spacing w:after="0" w:line="259" w:lineRule="auto"/>
        <w:ind w:left="0" w:right="0" w:firstLine="0"/>
        <w:rPr>
          <w:rFonts w:cs="Calibri (Body)"/>
        </w:rPr>
      </w:pPr>
      <w:r w:rsidRPr="003433FD">
        <w:rPr>
          <w:rFonts w:cs="Calibri (Body)"/>
        </w:rPr>
        <w:t xml:space="preserve">Slide </w:t>
      </w:r>
      <w:r>
        <w:rPr>
          <w:rFonts w:cs="Calibri (Body)"/>
        </w:rPr>
        <w:t xml:space="preserve">10 introduces the first set of building decarbonization practices which relate to Project Planning; Project Development; and Construction and Renovation.  Slide 11 includes the five project planning practices which participants (or teams) rank from highest (1) to lowest (5) in terms of the </w:t>
      </w:r>
      <w:r w:rsidRPr="003433FD">
        <w:rPr>
          <w:rFonts w:cs="Calibri (Body)"/>
          <w:b/>
          <w:bCs/>
        </w:rPr>
        <w:t xml:space="preserve">relative impact </w:t>
      </w:r>
      <w:r>
        <w:rPr>
          <w:rFonts w:cs="Calibri (Body)"/>
          <w:b/>
          <w:bCs/>
        </w:rPr>
        <w:t>on</w:t>
      </w:r>
      <w:r w:rsidRPr="003433FD">
        <w:rPr>
          <w:rFonts w:cs="Calibri (Body)"/>
          <w:b/>
          <w:bCs/>
        </w:rPr>
        <w:t xml:space="preserve"> building decarbonization</w:t>
      </w:r>
      <w:r>
        <w:rPr>
          <w:rFonts w:cs="Calibri (Body)"/>
          <w:b/>
          <w:bCs/>
        </w:rPr>
        <w:t xml:space="preserve"> efforts</w:t>
      </w:r>
      <w:r>
        <w:rPr>
          <w:rFonts w:cs="Calibri (Body)"/>
        </w:rPr>
        <w:t xml:space="preserve"> </w:t>
      </w:r>
      <w:r w:rsidRPr="003433FD">
        <w:rPr>
          <w:rFonts w:cs="Calibri (Body)"/>
          <w:b/>
          <w:bCs/>
        </w:rPr>
        <w:t>and outcomes</w:t>
      </w:r>
      <w:r>
        <w:rPr>
          <w:rFonts w:cs="Calibri (Body)"/>
        </w:rPr>
        <w:t xml:space="preserve">.  The facilitator should mention that the ranking is not based on the relative impact of these practices on the participant’s individual activities, but instead to current and future building decarbonization activities for the industry as a whole.  </w:t>
      </w:r>
    </w:p>
    <w:p w14:paraId="251F7EA8" w14:textId="77777777" w:rsidR="003433FD" w:rsidRDefault="003433FD" w:rsidP="003433FD">
      <w:pPr>
        <w:tabs>
          <w:tab w:val="num" w:pos="720"/>
        </w:tabs>
        <w:spacing w:after="0" w:line="259" w:lineRule="auto"/>
        <w:ind w:left="0" w:right="0" w:firstLine="0"/>
        <w:rPr>
          <w:rFonts w:cs="Calibri (Body)"/>
        </w:rPr>
      </w:pPr>
    </w:p>
    <w:p w14:paraId="741DFBAF" w14:textId="08FAF42E" w:rsidR="003433FD" w:rsidRDefault="003433FD" w:rsidP="003433FD">
      <w:pPr>
        <w:tabs>
          <w:tab w:val="num" w:pos="720"/>
        </w:tabs>
        <w:spacing w:after="0" w:line="259" w:lineRule="auto"/>
        <w:ind w:left="0" w:right="0" w:firstLine="0"/>
        <w:rPr>
          <w:rFonts w:cs="Calibri (Body)"/>
        </w:rPr>
      </w:pPr>
      <w:r>
        <w:rPr>
          <w:rFonts w:cs="Calibri (Body)"/>
        </w:rPr>
        <w:t xml:space="preserve">It is recommended that the facilitator talk through the definitions of the first five or ten practices, providing some examples or clarification.  After the first couple of practice categories, detailed </w:t>
      </w:r>
      <w:proofErr w:type="spellStart"/>
      <w:r>
        <w:rPr>
          <w:rFonts w:cs="Calibri (Body)"/>
        </w:rPr>
        <w:t>explainations</w:t>
      </w:r>
      <w:proofErr w:type="spellEnd"/>
      <w:r>
        <w:rPr>
          <w:rFonts w:cs="Calibri (Body)"/>
        </w:rPr>
        <w:t xml:space="preserve"> won’t be necessary and participants generally review the written definitions (on the slides </w:t>
      </w:r>
      <w:r>
        <w:rPr>
          <w:rFonts w:cs="Calibri (Body)"/>
        </w:rPr>
        <w:lastRenderedPageBreak/>
        <w:t>or the definitions sheet) themselves or discuss them as a team.  After each set of five practices, the participants record their ranking and the TFBD answers are shared.</w:t>
      </w:r>
    </w:p>
    <w:p w14:paraId="7E90E295" w14:textId="79C93201" w:rsidR="003433FD" w:rsidRPr="003433FD" w:rsidRDefault="003433FD" w:rsidP="003433FD">
      <w:pPr>
        <w:tabs>
          <w:tab w:val="num" w:pos="720"/>
        </w:tabs>
        <w:spacing w:after="0" w:line="259" w:lineRule="auto"/>
        <w:ind w:left="0" w:right="0" w:firstLine="0"/>
        <w:rPr>
          <w:rFonts w:cs="Calibri (Body)"/>
          <w:u w:val="single"/>
        </w:rPr>
      </w:pPr>
      <w:r w:rsidRPr="003433FD">
        <w:rPr>
          <w:rFonts w:cs="Calibri (Body)"/>
          <w:u w:val="single"/>
        </w:rPr>
        <w:t>Determining the Winner</w:t>
      </w:r>
    </w:p>
    <w:p w14:paraId="2EB7827C" w14:textId="77777777" w:rsidR="003433FD" w:rsidRDefault="003433FD" w:rsidP="003433FD">
      <w:pPr>
        <w:tabs>
          <w:tab w:val="num" w:pos="720"/>
        </w:tabs>
        <w:spacing w:after="0" w:line="259" w:lineRule="auto"/>
        <w:ind w:left="0" w:right="0" w:firstLine="0"/>
        <w:rPr>
          <w:rFonts w:cs="Calibri (Body)"/>
        </w:rPr>
      </w:pPr>
    </w:p>
    <w:p w14:paraId="29DC0CA3" w14:textId="7D34C117" w:rsidR="003433FD" w:rsidRDefault="003433FD" w:rsidP="003433FD">
      <w:pPr>
        <w:tabs>
          <w:tab w:val="num" w:pos="720"/>
        </w:tabs>
        <w:spacing w:after="0" w:line="259" w:lineRule="auto"/>
        <w:ind w:left="0" w:right="0" w:firstLine="0"/>
        <w:rPr>
          <w:rFonts w:cs="Calibri (Body)"/>
        </w:rPr>
      </w:pPr>
      <w:r>
        <w:rPr>
          <w:rFonts w:cs="Calibri (Body)"/>
        </w:rPr>
        <w:t xml:space="preserve">After all 35 of the practices are ranked and the TFBD answers shared, slide 27 provides the participants with instructions on how to tally their score by adding </w:t>
      </w:r>
      <w:proofErr w:type="gramStart"/>
      <w:r>
        <w:rPr>
          <w:rFonts w:cs="Calibri (Body)"/>
        </w:rPr>
        <w:t>up  individual</w:t>
      </w:r>
      <w:proofErr w:type="gramEnd"/>
      <w:r>
        <w:rPr>
          <w:rFonts w:cs="Calibri (Body)"/>
        </w:rPr>
        <w:t xml:space="preserve"> scores for the drivers and practices.  </w:t>
      </w:r>
      <w:r w:rsidRPr="00AA7E24">
        <w:rPr>
          <w:rFonts w:cs="Calibri (Body)"/>
        </w:rPr>
        <w:t>The total should be an even number,</w:t>
      </w:r>
      <w:r>
        <w:rPr>
          <w:rFonts w:cs="Calibri (Body)"/>
        </w:rPr>
        <w:t xml:space="preserve"> if not there is a math error somewhere </w:t>
      </w:r>
      <w:r w:rsidR="00AA7E24">
        <w:rPr>
          <w:rFonts w:cs="Calibri (Body)"/>
        </w:rPr>
        <w:t>on</w:t>
      </w:r>
      <w:r>
        <w:rPr>
          <w:rFonts w:cs="Calibri (Body)"/>
        </w:rPr>
        <w:t xml:space="preserve"> the scoring sheet.  The lowest score wins </w:t>
      </w:r>
      <w:r w:rsidR="00AA7E24">
        <w:rPr>
          <w:rFonts w:cs="Calibri (Body)"/>
        </w:rPr>
        <w:t xml:space="preserve">the game, </w:t>
      </w:r>
      <w:r>
        <w:rPr>
          <w:rFonts w:cs="Calibri (Body)"/>
        </w:rPr>
        <w:t xml:space="preserve">which is generally in the 30 to 40 range.  The facilitator can identify the winner by counting up from 0 until a participant (team) raises their hand.  The maximum possible score is 108 and most ASHRAE participants score between 50 and 60.  </w:t>
      </w:r>
      <w:r w:rsidR="00AA7E24">
        <w:rPr>
          <w:rFonts w:cs="Calibri (Body)"/>
        </w:rPr>
        <w:t>The</w:t>
      </w:r>
      <w:r>
        <w:rPr>
          <w:rFonts w:cs="Calibri (Body)"/>
        </w:rPr>
        <w:t xml:space="preserve"> game winner(s) </w:t>
      </w:r>
      <w:r w:rsidR="00AA7E24">
        <w:rPr>
          <w:rFonts w:cs="Calibri (Body)"/>
        </w:rPr>
        <w:t xml:space="preserve">should </w:t>
      </w:r>
      <w:r>
        <w:rPr>
          <w:rFonts w:cs="Calibri (Body)"/>
        </w:rPr>
        <w:t xml:space="preserve">receive a prize.  At the initial Tampa conference session, the winner received a Barbie </w:t>
      </w:r>
      <w:r w:rsidR="00AA7E24">
        <w:rPr>
          <w:rFonts w:cs="Calibri (Body)"/>
        </w:rPr>
        <w:t>Doll House</w:t>
      </w:r>
      <w:r>
        <w:rPr>
          <w:rFonts w:cs="Calibri (Body)"/>
        </w:rPr>
        <w:t xml:space="preserve"> </w:t>
      </w:r>
      <w:r w:rsidR="00AA7E24">
        <w:rPr>
          <w:rFonts w:cs="Calibri (Body)"/>
        </w:rPr>
        <w:t xml:space="preserve">scale </w:t>
      </w:r>
      <w:r>
        <w:rPr>
          <w:rFonts w:cs="Calibri (Body)"/>
        </w:rPr>
        <w:t xml:space="preserve">split system heat pump made </w:t>
      </w:r>
      <w:r w:rsidR="00AA7E24">
        <w:rPr>
          <w:rFonts w:cs="Calibri (Body)"/>
        </w:rPr>
        <w:t>using</w:t>
      </w:r>
      <w:r>
        <w:rPr>
          <w:rFonts w:cs="Calibri (Body)"/>
        </w:rPr>
        <w:t xml:space="preserve"> a 3D printer.</w:t>
      </w:r>
    </w:p>
    <w:p w14:paraId="1C5C9DDB" w14:textId="77777777" w:rsidR="003433FD" w:rsidRDefault="003433FD" w:rsidP="003433FD">
      <w:pPr>
        <w:tabs>
          <w:tab w:val="num" w:pos="720"/>
        </w:tabs>
        <w:spacing w:after="0" w:line="259" w:lineRule="auto"/>
        <w:ind w:left="0" w:right="0" w:firstLine="0"/>
        <w:rPr>
          <w:rFonts w:cs="Calibri (Body)"/>
        </w:rPr>
      </w:pPr>
    </w:p>
    <w:p w14:paraId="658949C3" w14:textId="2957B99D" w:rsidR="003433FD" w:rsidRPr="003433FD" w:rsidRDefault="003433FD" w:rsidP="003433FD">
      <w:pPr>
        <w:tabs>
          <w:tab w:val="num" w:pos="720"/>
        </w:tabs>
        <w:spacing w:after="0" w:line="259" w:lineRule="auto"/>
        <w:ind w:left="0" w:right="0" w:firstLine="0"/>
        <w:rPr>
          <w:rFonts w:cs="Calibri (Body)"/>
          <w:u w:val="single"/>
        </w:rPr>
      </w:pPr>
      <w:r w:rsidRPr="003433FD">
        <w:rPr>
          <w:rFonts w:cs="Calibri (Body)"/>
          <w:u w:val="single"/>
        </w:rPr>
        <w:t>Training and Education Needs</w:t>
      </w:r>
    </w:p>
    <w:p w14:paraId="37B89DB6" w14:textId="77777777" w:rsidR="003433FD" w:rsidRDefault="003433FD" w:rsidP="003433FD">
      <w:pPr>
        <w:tabs>
          <w:tab w:val="num" w:pos="720"/>
        </w:tabs>
        <w:spacing w:after="0" w:line="259" w:lineRule="auto"/>
        <w:ind w:left="0" w:right="0" w:firstLine="0"/>
        <w:rPr>
          <w:rFonts w:cs="Calibri (Body)"/>
        </w:rPr>
      </w:pPr>
    </w:p>
    <w:p w14:paraId="72577FC8" w14:textId="01EDEBD1" w:rsidR="00F9156B" w:rsidRDefault="003433FD" w:rsidP="003433FD">
      <w:pPr>
        <w:tabs>
          <w:tab w:val="num" w:pos="720"/>
        </w:tabs>
        <w:spacing w:after="0" w:line="259" w:lineRule="auto"/>
        <w:ind w:left="0" w:right="0" w:firstLine="0"/>
        <w:rPr>
          <w:rFonts w:cs="Calibri (Body)"/>
        </w:rPr>
      </w:pPr>
      <w:r>
        <w:rPr>
          <w:rFonts w:cs="Calibri (Body)"/>
        </w:rPr>
        <w:t>As a final activity</w:t>
      </w:r>
      <w:r w:rsidR="00AA7E24">
        <w:rPr>
          <w:rFonts w:cs="Calibri (Body)"/>
        </w:rPr>
        <w:t>, slide 28 shows a table of all 35 building decarbonization practices and the participants are asked to identify up to ten (10) priority practices that should be the focus of future ASHRAE training courses and educational resources.  These ten practices can be indicated in the last column of the scoring sheet.  Participants should then be encouraged to indicate their industry role at the bottom of the scoring sheet (participant names aren’t necessary) so that ASHRAE can analyze the decarbonization training and education needs by industry role.</w:t>
      </w:r>
      <w:r w:rsidR="00F9156B">
        <w:rPr>
          <w:rFonts w:cs="Calibri (Body)"/>
        </w:rPr>
        <w:t xml:space="preserve">  Slide 29 shows high and medium priorities for ASHRAE training and education from 100’s of participants in the initial pilot game board sessions.</w:t>
      </w:r>
    </w:p>
    <w:p w14:paraId="6DB1929D" w14:textId="77777777" w:rsidR="00AA7E24" w:rsidRDefault="00AA7E24" w:rsidP="003433FD">
      <w:pPr>
        <w:tabs>
          <w:tab w:val="num" w:pos="720"/>
        </w:tabs>
        <w:spacing w:after="0" w:line="259" w:lineRule="auto"/>
        <w:ind w:left="0" w:right="0" w:firstLine="0"/>
        <w:rPr>
          <w:rFonts w:cs="Calibri (Body)"/>
        </w:rPr>
      </w:pPr>
    </w:p>
    <w:p w14:paraId="2EFCE101" w14:textId="4ABF5B1A" w:rsidR="00AA7E24" w:rsidRDefault="00AA7E24" w:rsidP="00E37CAC">
      <w:pPr>
        <w:tabs>
          <w:tab w:val="num" w:pos="720"/>
        </w:tabs>
        <w:spacing w:after="0" w:line="259" w:lineRule="auto"/>
        <w:ind w:left="0" w:right="0" w:firstLine="0"/>
        <w:rPr>
          <w:rFonts w:cs="Calibri (Body)"/>
        </w:rPr>
      </w:pPr>
      <w:r>
        <w:rPr>
          <w:rFonts w:cs="Calibri (Body)"/>
        </w:rPr>
        <w:t>After the game session, participants should turn in their completed scoring sheet but can keep the practice definitions as a reference.  If they want to keep their scoring sheet, encourage then to take a picture of the sheet as a reference.</w:t>
      </w:r>
    </w:p>
    <w:p w14:paraId="58246AF3" w14:textId="7D3F5411" w:rsidR="00AA7E24" w:rsidRDefault="00AA7E24" w:rsidP="00E37CAC">
      <w:pPr>
        <w:tabs>
          <w:tab w:val="num" w:pos="720"/>
        </w:tabs>
        <w:spacing w:after="0" w:line="259" w:lineRule="auto"/>
        <w:ind w:left="0" w:right="0" w:firstLine="0"/>
        <w:rPr>
          <w:rFonts w:cs="Calibri (Body)"/>
        </w:rPr>
      </w:pPr>
    </w:p>
    <w:p w14:paraId="55095590" w14:textId="5BF09F18" w:rsidR="003433FD" w:rsidRPr="003433FD" w:rsidRDefault="00AA7E24" w:rsidP="00E37CAC">
      <w:pPr>
        <w:tabs>
          <w:tab w:val="num" w:pos="720"/>
        </w:tabs>
        <w:spacing w:after="0" w:line="259" w:lineRule="auto"/>
        <w:ind w:left="0" w:right="0" w:firstLine="0"/>
        <w:rPr>
          <w:rFonts w:cs="Calibri (Body)"/>
        </w:rPr>
      </w:pPr>
      <w:r w:rsidRPr="00AA7E24">
        <w:rPr>
          <w:rFonts w:cs="Calibri (Body)"/>
          <w:b/>
          <w:bCs/>
        </w:rPr>
        <w:t xml:space="preserve">Please forward </w:t>
      </w:r>
      <w:r>
        <w:rPr>
          <w:rFonts w:cs="Calibri (Body)"/>
          <w:b/>
          <w:bCs/>
        </w:rPr>
        <w:t xml:space="preserve">the </w:t>
      </w:r>
      <w:r w:rsidRPr="00AA7E24">
        <w:rPr>
          <w:rFonts w:cs="Calibri (Body)"/>
          <w:b/>
          <w:bCs/>
        </w:rPr>
        <w:t>completed scoring sheets</w:t>
      </w:r>
      <w:r>
        <w:rPr>
          <w:rFonts w:cs="Calibri (Body)"/>
        </w:rPr>
        <w:t xml:space="preserve"> (pdf or photos) to Clay </w:t>
      </w:r>
      <w:proofErr w:type="spellStart"/>
      <w:r>
        <w:rPr>
          <w:rFonts w:cs="Calibri (Body)"/>
        </w:rPr>
        <w:t>Nesler</w:t>
      </w:r>
      <w:proofErr w:type="spellEnd"/>
      <w:r>
        <w:rPr>
          <w:rFonts w:cs="Calibri (Body)"/>
        </w:rPr>
        <w:t xml:space="preserve"> at </w:t>
      </w:r>
      <w:hyperlink r:id="rId8" w:history="1">
        <w:r w:rsidR="0080629E" w:rsidRPr="00211660">
          <w:rPr>
            <w:rStyle w:val="Hyperlink"/>
            <w:rFonts w:cs="Calibri (Body)"/>
          </w:rPr>
          <w:t>clay@neslergroup.com</w:t>
        </w:r>
      </w:hyperlink>
      <w:r w:rsidR="0080629E">
        <w:rPr>
          <w:rFonts w:cs="Calibri (Body)"/>
        </w:rPr>
        <w:t xml:space="preserve"> </w:t>
      </w:r>
      <w:r>
        <w:rPr>
          <w:rFonts w:cs="Calibri (Body)"/>
        </w:rPr>
        <w:t xml:space="preserve">so that the game results can be analyzed and used to inform future building decarbonization training, </w:t>
      </w:r>
      <w:proofErr w:type="gramStart"/>
      <w:r>
        <w:rPr>
          <w:rFonts w:cs="Calibri (Body)"/>
        </w:rPr>
        <w:t>education</w:t>
      </w:r>
      <w:proofErr w:type="gramEnd"/>
      <w:r>
        <w:rPr>
          <w:rFonts w:cs="Calibri (Body)"/>
        </w:rPr>
        <w:t xml:space="preserve"> and certification materials.</w:t>
      </w:r>
    </w:p>
    <w:p w14:paraId="537E112F" w14:textId="77ECDC84" w:rsidR="00E37CAC" w:rsidRDefault="00F9156B" w:rsidP="0075359A">
      <w:pPr>
        <w:tabs>
          <w:tab w:val="num" w:pos="720"/>
        </w:tabs>
        <w:spacing w:after="0" w:line="259" w:lineRule="auto"/>
        <w:ind w:left="0" w:right="0" w:firstLine="0"/>
        <w:rPr>
          <w:rFonts w:cs="Calibri (Body)"/>
        </w:rPr>
      </w:pPr>
      <w:r>
        <w:rPr>
          <w:noProof/>
          <w:u w:val="single"/>
        </w:rPr>
        <w:drawing>
          <wp:anchor distT="0" distB="0" distL="114300" distR="114300" simplePos="0" relativeHeight="251658240" behindDoc="0" locked="0" layoutInCell="1" allowOverlap="1" wp14:anchorId="0FA57DD8" wp14:editId="357F3B96">
            <wp:simplePos x="0" y="0"/>
            <wp:positionH relativeFrom="column">
              <wp:posOffset>3246120</wp:posOffset>
            </wp:positionH>
            <wp:positionV relativeFrom="paragraph">
              <wp:posOffset>157480</wp:posOffset>
            </wp:positionV>
            <wp:extent cx="2247900" cy="2847975"/>
            <wp:effectExtent l="0" t="0" r="0" b="0"/>
            <wp:wrapNone/>
            <wp:docPr id="179108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8876" name="Picture 179108876"/>
                    <pic:cNvPicPr/>
                  </pic:nvPicPr>
                  <pic:blipFill rotWithShape="1">
                    <a:blip r:embed="rId9" cstate="print">
                      <a:extLst>
                        <a:ext uri="{28A0092B-C50C-407E-A947-70E740481C1C}">
                          <a14:useLocalDpi xmlns:a14="http://schemas.microsoft.com/office/drawing/2010/main" val="0"/>
                        </a:ext>
                      </a:extLst>
                    </a:blip>
                    <a:srcRect b="15613"/>
                    <a:stretch/>
                  </pic:blipFill>
                  <pic:spPr bwMode="auto">
                    <a:xfrm>
                      <a:off x="0" y="0"/>
                      <a:ext cx="2247900" cy="2847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u w:val="single"/>
        </w:rPr>
        <w:drawing>
          <wp:anchor distT="0" distB="0" distL="114300" distR="114300" simplePos="0" relativeHeight="251659264" behindDoc="0" locked="0" layoutInCell="1" allowOverlap="1" wp14:anchorId="282A290A" wp14:editId="61F87999">
            <wp:simplePos x="0" y="0"/>
            <wp:positionH relativeFrom="column">
              <wp:posOffset>488950</wp:posOffset>
            </wp:positionH>
            <wp:positionV relativeFrom="paragraph">
              <wp:posOffset>157480</wp:posOffset>
            </wp:positionV>
            <wp:extent cx="2238375" cy="2839720"/>
            <wp:effectExtent l="0" t="0" r="0" b="5080"/>
            <wp:wrapNone/>
            <wp:docPr id="93688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86617" name="Picture 936886617"/>
                    <pic:cNvPicPr/>
                  </pic:nvPicPr>
                  <pic:blipFill rotWithShape="1">
                    <a:blip r:embed="rId10" cstate="print">
                      <a:extLst>
                        <a:ext uri="{28A0092B-C50C-407E-A947-70E740481C1C}">
                          <a14:useLocalDpi xmlns:a14="http://schemas.microsoft.com/office/drawing/2010/main" val="0"/>
                        </a:ext>
                      </a:extLst>
                    </a:blip>
                    <a:srcRect l="42452" t="10107" r="15271" b="9378"/>
                    <a:stretch/>
                  </pic:blipFill>
                  <pic:spPr bwMode="auto">
                    <a:xfrm>
                      <a:off x="0" y="0"/>
                      <a:ext cx="2238375" cy="2839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F9DEA" w14:textId="17CE4B15" w:rsidR="00433605" w:rsidRDefault="00433605">
      <w:pPr>
        <w:spacing w:after="0" w:line="240" w:lineRule="auto"/>
        <w:ind w:left="0" w:right="0" w:firstLine="0"/>
        <w:rPr>
          <w:u w:val="single"/>
        </w:rPr>
      </w:pPr>
      <w:r>
        <w:rPr>
          <w:u w:val="single"/>
        </w:rPr>
        <w:br w:type="page"/>
      </w:r>
    </w:p>
    <w:p w14:paraId="26363F4C" w14:textId="0FC6560B" w:rsidR="00433605" w:rsidRPr="00433605" w:rsidRDefault="00433605" w:rsidP="00433605">
      <w:pPr>
        <w:rPr>
          <w:rFonts w:cstheme="minorHAnsi"/>
          <w:caps/>
          <w:u w:val="single"/>
        </w:rPr>
      </w:pPr>
      <w:r w:rsidRPr="00433605">
        <w:rPr>
          <w:u w:val="single"/>
        </w:rPr>
        <w:lastRenderedPageBreak/>
        <w:t xml:space="preserve">APPENDIX A - </w:t>
      </w:r>
      <w:r w:rsidRPr="00433605">
        <w:rPr>
          <w:rFonts w:cstheme="minorHAnsi"/>
          <w:caps/>
          <w:u w:val="single"/>
        </w:rPr>
        <w:t>building decarbonization drivers</w:t>
      </w:r>
    </w:p>
    <w:p w14:paraId="11EEA6B1" w14:textId="77777777" w:rsidR="001A5C1C" w:rsidRDefault="001A5C1C" w:rsidP="00433605">
      <w:pPr>
        <w:ind w:left="0" w:firstLine="0"/>
        <w:rPr>
          <w:rFonts w:cstheme="minorHAnsi"/>
          <w:b/>
          <w:bCs/>
          <w:caps/>
        </w:rPr>
      </w:pPr>
    </w:p>
    <w:p w14:paraId="0B7D9F0C" w14:textId="77777777" w:rsidR="001A5C1C" w:rsidRPr="0035480C" w:rsidRDefault="001A5C1C" w:rsidP="001A5C1C">
      <w:pPr>
        <w:rPr>
          <w:rFonts w:cs="Calibri (Body)"/>
        </w:rPr>
      </w:pPr>
      <w:r w:rsidRPr="0035480C">
        <w:rPr>
          <w:rFonts w:cs="Calibri (Body)"/>
        </w:rPr>
        <w:t xml:space="preserve">The first </w:t>
      </w:r>
      <w:r>
        <w:rPr>
          <w:rFonts w:cs="Calibri (Body)"/>
        </w:rPr>
        <w:t>part of the game asks participants to rank climate and organization-related drivers based on the relative importance within each category.  A TFBD member survey is used to determine the “correct” ranking.</w:t>
      </w:r>
    </w:p>
    <w:p w14:paraId="6D4B36CF" w14:textId="77777777" w:rsidR="001A5C1C" w:rsidRDefault="001A5C1C" w:rsidP="001A5C1C">
      <w:pPr>
        <w:ind w:left="450"/>
        <w:rPr>
          <w:rFonts w:cstheme="minorHAnsi"/>
          <w:b/>
          <w:bCs/>
        </w:rPr>
      </w:pPr>
    </w:p>
    <w:p w14:paraId="1EC8A17C" w14:textId="383D491B" w:rsidR="001A5C1C" w:rsidRPr="00CC46EC" w:rsidRDefault="00433605" w:rsidP="00433605">
      <w:pPr>
        <w:rPr>
          <w:rFonts w:cstheme="minorHAnsi"/>
          <w:b/>
          <w:bCs/>
        </w:rPr>
      </w:pPr>
      <w:r>
        <w:rPr>
          <w:rFonts w:cstheme="minorHAnsi"/>
          <w:b/>
          <w:bCs/>
        </w:rPr>
        <w:t>Environment</w:t>
      </w:r>
      <w:r w:rsidR="001A5C1C">
        <w:rPr>
          <w:rFonts w:cstheme="minorHAnsi"/>
          <w:b/>
          <w:bCs/>
        </w:rPr>
        <w:t>-related Drivers</w:t>
      </w:r>
    </w:p>
    <w:p w14:paraId="11E7E140" w14:textId="77777777" w:rsidR="001A5C1C" w:rsidRDefault="001A5C1C" w:rsidP="001A5C1C">
      <w:pPr>
        <w:pStyle w:val="ListParagraph"/>
        <w:numPr>
          <w:ilvl w:val="0"/>
          <w:numId w:val="8"/>
        </w:numPr>
        <w:spacing w:after="0" w:line="240" w:lineRule="auto"/>
        <w:ind w:right="0"/>
        <w:rPr>
          <w:rFonts w:cstheme="minorHAnsi"/>
        </w:rPr>
      </w:pPr>
      <w:r>
        <w:rPr>
          <w:rFonts w:cstheme="minorHAnsi"/>
        </w:rPr>
        <w:t xml:space="preserve">Reduce operational greenhouse gas emissions </w:t>
      </w:r>
    </w:p>
    <w:p w14:paraId="07B90781" w14:textId="77777777" w:rsidR="001A5C1C" w:rsidRDefault="001A5C1C" w:rsidP="001A5C1C">
      <w:pPr>
        <w:pStyle w:val="ListParagraph"/>
        <w:numPr>
          <w:ilvl w:val="0"/>
          <w:numId w:val="8"/>
        </w:numPr>
        <w:spacing w:after="0" w:line="240" w:lineRule="auto"/>
        <w:ind w:right="0"/>
        <w:rPr>
          <w:rFonts w:cstheme="minorHAnsi"/>
        </w:rPr>
      </w:pPr>
      <w:r>
        <w:rPr>
          <w:rFonts w:cstheme="minorHAnsi"/>
        </w:rPr>
        <w:t>Reduce embodied carbon in building materials and equipment</w:t>
      </w:r>
    </w:p>
    <w:p w14:paraId="60619CA1" w14:textId="77777777" w:rsidR="001A5C1C" w:rsidRDefault="001A5C1C" w:rsidP="001A5C1C">
      <w:pPr>
        <w:pStyle w:val="ListParagraph"/>
        <w:numPr>
          <w:ilvl w:val="0"/>
          <w:numId w:val="8"/>
        </w:numPr>
        <w:spacing w:after="0" w:line="240" w:lineRule="auto"/>
        <w:ind w:right="0"/>
        <w:rPr>
          <w:rFonts w:cstheme="minorHAnsi"/>
        </w:rPr>
      </w:pPr>
      <w:r>
        <w:rPr>
          <w:rFonts w:cstheme="minorHAnsi"/>
        </w:rPr>
        <w:t>Reduce fossil fuel use in buildings</w:t>
      </w:r>
    </w:p>
    <w:p w14:paraId="1BC2B23E" w14:textId="77777777" w:rsidR="001A5C1C" w:rsidRDefault="001A5C1C" w:rsidP="001A5C1C">
      <w:pPr>
        <w:pStyle w:val="ListParagraph"/>
        <w:numPr>
          <w:ilvl w:val="0"/>
          <w:numId w:val="8"/>
        </w:numPr>
        <w:spacing w:after="0" w:line="240" w:lineRule="auto"/>
        <w:ind w:right="0"/>
        <w:rPr>
          <w:rFonts w:cstheme="minorHAnsi"/>
        </w:rPr>
      </w:pPr>
      <w:r>
        <w:rPr>
          <w:rFonts w:cstheme="minorHAnsi"/>
        </w:rPr>
        <w:t>Increase use of zero carbon renewable energy</w:t>
      </w:r>
    </w:p>
    <w:p w14:paraId="173CC1A1" w14:textId="77777777" w:rsidR="001A5C1C" w:rsidRDefault="001A5C1C" w:rsidP="001A5C1C">
      <w:pPr>
        <w:pStyle w:val="ListParagraph"/>
        <w:numPr>
          <w:ilvl w:val="0"/>
          <w:numId w:val="8"/>
        </w:numPr>
        <w:spacing w:after="0" w:line="240" w:lineRule="auto"/>
        <w:ind w:right="0"/>
        <w:rPr>
          <w:rFonts w:cstheme="minorHAnsi"/>
        </w:rPr>
      </w:pPr>
      <w:r>
        <w:rPr>
          <w:rFonts w:cstheme="minorHAnsi"/>
        </w:rPr>
        <w:t>Increase facility resilience to climate change impacts</w:t>
      </w:r>
    </w:p>
    <w:p w14:paraId="10DCED72" w14:textId="77777777" w:rsidR="001A5C1C" w:rsidRPr="00771FDF" w:rsidRDefault="001A5C1C" w:rsidP="001A5C1C">
      <w:pPr>
        <w:pStyle w:val="ListParagraph"/>
        <w:ind w:left="1170"/>
        <w:rPr>
          <w:rFonts w:cstheme="minorHAnsi"/>
        </w:rPr>
      </w:pPr>
    </w:p>
    <w:p w14:paraId="0D8FA8F3" w14:textId="31101FDB" w:rsidR="001A5C1C" w:rsidRPr="00433605" w:rsidRDefault="001A5C1C" w:rsidP="00433605">
      <w:pPr>
        <w:rPr>
          <w:rFonts w:cstheme="minorHAnsi"/>
          <w:b/>
          <w:bCs/>
        </w:rPr>
      </w:pPr>
      <w:r>
        <w:rPr>
          <w:rFonts w:cstheme="minorHAnsi"/>
          <w:b/>
          <w:bCs/>
        </w:rPr>
        <w:t>Organization-related Drivers</w:t>
      </w:r>
    </w:p>
    <w:p w14:paraId="5B512EE5" w14:textId="77777777" w:rsidR="001A5C1C" w:rsidRPr="00CC46EC" w:rsidRDefault="001A5C1C" w:rsidP="001A5C1C">
      <w:pPr>
        <w:pStyle w:val="ListParagraph"/>
        <w:numPr>
          <w:ilvl w:val="0"/>
          <w:numId w:val="8"/>
        </w:numPr>
        <w:spacing w:after="0" w:line="240" w:lineRule="auto"/>
        <w:ind w:right="0"/>
        <w:rPr>
          <w:rFonts w:cstheme="minorHAnsi"/>
        </w:rPr>
      </w:pPr>
      <w:r>
        <w:rPr>
          <w:rFonts w:cstheme="minorHAnsi"/>
        </w:rPr>
        <w:t xml:space="preserve">Maintain building occupant comfort, </w:t>
      </w:r>
      <w:proofErr w:type="gramStart"/>
      <w:r>
        <w:rPr>
          <w:rFonts w:cstheme="minorHAnsi"/>
        </w:rPr>
        <w:t>health</w:t>
      </w:r>
      <w:proofErr w:type="gramEnd"/>
      <w:r>
        <w:rPr>
          <w:rFonts w:cstheme="minorHAnsi"/>
        </w:rPr>
        <w:t xml:space="preserve"> and safety</w:t>
      </w:r>
    </w:p>
    <w:p w14:paraId="5480DF02" w14:textId="77777777" w:rsidR="001A5C1C" w:rsidRDefault="001A5C1C" w:rsidP="001A5C1C">
      <w:pPr>
        <w:pStyle w:val="ListParagraph"/>
        <w:numPr>
          <w:ilvl w:val="0"/>
          <w:numId w:val="8"/>
        </w:numPr>
        <w:spacing w:after="0" w:line="240" w:lineRule="auto"/>
        <w:ind w:right="0"/>
        <w:rPr>
          <w:rFonts w:cstheme="minorHAnsi"/>
        </w:rPr>
      </w:pPr>
      <w:r>
        <w:rPr>
          <w:rFonts w:cstheme="minorHAnsi"/>
        </w:rPr>
        <w:t>Reduce building lifecycle costs</w:t>
      </w:r>
    </w:p>
    <w:p w14:paraId="6EF82511" w14:textId="77777777" w:rsidR="001A5C1C" w:rsidRDefault="001A5C1C" w:rsidP="001A5C1C">
      <w:pPr>
        <w:pStyle w:val="ListParagraph"/>
        <w:numPr>
          <w:ilvl w:val="0"/>
          <w:numId w:val="8"/>
        </w:numPr>
        <w:spacing w:after="0" w:line="240" w:lineRule="auto"/>
        <w:ind w:right="0"/>
        <w:rPr>
          <w:rFonts w:cstheme="minorHAnsi"/>
        </w:rPr>
      </w:pPr>
      <w:r>
        <w:rPr>
          <w:rFonts w:cstheme="minorHAnsi"/>
        </w:rPr>
        <w:t>Increase building asset value</w:t>
      </w:r>
    </w:p>
    <w:p w14:paraId="40B2F91C" w14:textId="77777777" w:rsidR="001A5C1C" w:rsidRDefault="001A5C1C" w:rsidP="001A5C1C">
      <w:pPr>
        <w:pStyle w:val="ListParagraph"/>
        <w:numPr>
          <w:ilvl w:val="0"/>
          <w:numId w:val="8"/>
        </w:numPr>
        <w:spacing w:after="0" w:line="240" w:lineRule="auto"/>
        <w:ind w:right="0"/>
        <w:rPr>
          <w:rFonts w:cstheme="minorHAnsi"/>
        </w:rPr>
      </w:pPr>
      <w:r>
        <w:rPr>
          <w:rFonts w:cstheme="minorHAnsi"/>
        </w:rPr>
        <w:t>Maintain compliance with government regulations</w:t>
      </w:r>
    </w:p>
    <w:p w14:paraId="2D0B6B48" w14:textId="77777777" w:rsidR="001A5C1C" w:rsidRPr="00F4630F" w:rsidRDefault="001A5C1C" w:rsidP="001A5C1C">
      <w:pPr>
        <w:pStyle w:val="ListParagraph"/>
        <w:numPr>
          <w:ilvl w:val="0"/>
          <w:numId w:val="8"/>
        </w:numPr>
        <w:spacing w:after="0" w:line="240" w:lineRule="auto"/>
        <w:ind w:right="0"/>
        <w:rPr>
          <w:rFonts w:cstheme="minorHAnsi"/>
        </w:rPr>
      </w:pPr>
      <w:r>
        <w:rPr>
          <w:rFonts w:cstheme="minorHAnsi"/>
        </w:rPr>
        <w:t>Support sustainability goals and commitments</w:t>
      </w:r>
    </w:p>
    <w:p w14:paraId="2A1F8745" w14:textId="77777777" w:rsidR="001A5C1C" w:rsidRDefault="001A5C1C" w:rsidP="001A5C1C">
      <w:pPr>
        <w:rPr>
          <w:rFonts w:cstheme="minorHAnsi"/>
          <w:b/>
          <w:bCs/>
          <w:caps/>
        </w:rPr>
      </w:pPr>
    </w:p>
    <w:p w14:paraId="48C75F4B" w14:textId="77777777" w:rsidR="002C7B1C" w:rsidRDefault="002C7B1C" w:rsidP="00433605">
      <w:pPr>
        <w:rPr>
          <w:u w:val="single"/>
        </w:rPr>
      </w:pPr>
    </w:p>
    <w:p w14:paraId="46C5FB38" w14:textId="77777777" w:rsidR="002C7B1C" w:rsidRDefault="002C7B1C" w:rsidP="00433605">
      <w:pPr>
        <w:rPr>
          <w:u w:val="single"/>
        </w:rPr>
      </w:pPr>
    </w:p>
    <w:p w14:paraId="3176F2CE" w14:textId="64E88F1E" w:rsidR="00433605" w:rsidRPr="00433605" w:rsidRDefault="00433605" w:rsidP="00433605">
      <w:pPr>
        <w:rPr>
          <w:rFonts w:cstheme="minorHAnsi"/>
          <w:caps/>
          <w:u w:val="single"/>
        </w:rPr>
      </w:pPr>
      <w:r w:rsidRPr="00433605">
        <w:rPr>
          <w:u w:val="single"/>
        </w:rPr>
        <w:t xml:space="preserve">APPENDIX </w:t>
      </w:r>
      <w:r>
        <w:rPr>
          <w:u w:val="single"/>
        </w:rPr>
        <w:t>B</w:t>
      </w:r>
      <w:r w:rsidRPr="00433605">
        <w:rPr>
          <w:u w:val="single"/>
        </w:rPr>
        <w:t xml:space="preserve"> - </w:t>
      </w:r>
      <w:r w:rsidRPr="00433605">
        <w:rPr>
          <w:rFonts w:cstheme="minorHAnsi"/>
          <w:caps/>
          <w:u w:val="single"/>
        </w:rPr>
        <w:t xml:space="preserve">building decarbonization </w:t>
      </w:r>
      <w:r>
        <w:rPr>
          <w:rFonts w:cstheme="minorHAnsi"/>
          <w:caps/>
          <w:u w:val="single"/>
        </w:rPr>
        <w:t>PRACTICES</w:t>
      </w:r>
    </w:p>
    <w:p w14:paraId="72F2CDFC" w14:textId="77777777" w:rsidR="001A5C1C" w:rsidRDefault="001A5C1C" w:rsidP="001A5C1C">
      <w:pPr>
        <w:rPr>
          <w:rFonts w:cstheme="minorHAnsi"/>
          <w:b/>
          <w:bCs/>
          <w:caps/>
        </w:rPr>
      </w:pPr>
    </w:p>
    <w:p w14:paraId="67D544B1" w14:textId="77777777" w:rsidR="001A5C1C" w:rsidRPr="00CC46EC" w:rsidRDefault="001A5C1C" w:rsidP="001A5C1C">
      <w:pPr>
        <w:rPr>
          <w:rFonts w:cstheme="minorHAnsi"/>
          <w:b/>
          <w:bCs/>
          <w:caps/>
        </w:rPr>
      </w:pPr>
      <w:r w:rsidRPr="0016207E">
        <w:rPr>
          <w:rFonts w:cstheme="minorHAnsi"/>
          <w:b/>
          <w:bCs/>
          <w:caps/>
        </w:rPr>
        <w:t>Project Planning and Delivery</w:t>
      </w:r>
      <w:r w:rsidRPr="0016207E">
        <w:rPr>
          <w:rFonts w:cstheme="minorHAnsi"/>
          <w:b/>
          <w:bCs/>
          <w:caps/>
        </w:rPr>
        <w:tab/>
      </w:r>
    </w:p>
    <w:p w14:paraId="7BB915C9" w14:textId="77777777" w:rsidR="001A5C1C" w:rsidRDefault="001A5C1C" w:rsidP="001A5C1C">
      <w:pPr>
        <w:ind w:left="450"/>
        <w:rPr>
          <w:rFonts w:cstheme="minorHAnsi"/>
          <w:b/>
          <w:bCs/>
        </w:rPr>
      </w:pPr>
    </w:p>
    <w:p w14:paraId="0685B7E9" w14:textId="77777777" w:rsidR="001A5C1C" w:rsidRDefault="001A5C1C" w:rsidP="001A5C1C">
      <w:pPr>
        <w:ind w:left="450"/>
        <w:rPr>
          <w:rFonts w:cstheme="minorHAnsi"/>
          <w:b/>
          <w:bCs/>
        </w:rPr>
      </w:pPr>
      <w:r w:rsidRPr="0016207E">
        <w:rPr>
          <w:rFonts w:cstheme="minorHAnsi"/>
          <w:b/>
          <w:bCs/>
        </w:rPr>
        <w:t>Project Planning</w:t>
      </w:r>
      <w:r>
        <w:rPr>
          <w:rFonts w:cstheme="minorHAnsi"/>
          <w:b/>
          <w:bCs/>
        </w:rPr>
        <w:t xml:space="preserve"> Practices</w:t>
      </w:r>
    </w:p>
    <w:p w14:paraId="52ED0ABC" w14:textId="77777777" w:rsidR="001A5C1C" w:rsidRPr="0016207E" w:rsidRDefault="001A5C1C" w:rsidP="001A5C1C">
      <w:pPr>
        <w:ind w:left="450"/>
        <w:rPr>
          <w:rFonts w:cstheme="minorHAnsi"/>
          <w:b/>
          <w:bCs/>
        </w:rPr>
      </w:pPr>
    </w:p>
    <w:p w14:paraId="6AC1A4C3" w14:textId="77777777" w:rsidR="001A5C1C" w:rsidRPr="002A3203" w:rsidRDefault="001A5C1C" w:rsidP="001A5C1C">
      <w:pPr>
        <w:pStyle w:val="ListParagraph"/>
        <w:numPr>
          <w:ilvl w:val="0"/>
          <w:numId w:val="9"/>
        </w:numPr>
        <w:spacing w:after="0" w:line="240" w:lineRule="auto"/>
        <w:ind w:right="0"/>
        <w:rPr>
          <w:rFonts w:cstheme="minorHAnsi"/>
        </w:rPr>
      </w:pPr>
      <w:r w:rsidRPr="002A3203">
        <w:rPr>
          <w:rFonts w:cstheme="minorHAnsi"/>
        </w:rPr>
        <w:t xml:space="preserve">Building Decarbonization </w:t>
      </w:r>
      <w:r>
        <w:rPr>
          <w:rFonts w:cstheme="minorHAnsi"/>
        </w:rPr>
        <w:t>Audit</w:t>
      </w:r>
    </w:p>
    <w:p w14:paraId="21DABE35" w14:textId="77777777" w:rsidR="001A5C1C" w:rsidRDefault="001A5C1C" w:rsidP="001A5C1C">
      <w:pPr>
        <w:ind w:left="1170"/>
        <w:rPr>
          <w:rFonts w:cstheme="minorHAnsi"/>
        </w:rPr>
      </w:pPr>
    </w:p>
    <w:p w14:paraId="5FBFCA46" w14:textId="77777777" w:rsidR="001A5C1C" w:rsidRDefault="001A5C1C" w:rsidP="001A5C1C">
      <w:pPr>
        <w:ind w:left="1170"/>
        <w:rPr>
          <w:rFonts w:cstheme="minorHAnsi"/>
        </w:rPr>
      </w:pPr>
      <w:r w:rsidRPr="002A3203">
        <w:rPr>
          <w:rFonts w:cstheme="minorHAnsi"/>
        </w:rPr>
        <w:t xml:space="preserve">On-site technical assessment and </w:t>
      </w:r>
      <w:r>
        <w:rPr>
          <w:rFonts w:cstheme="minorHAnsi"/>
        </w:rPr>
        <w:t xml:space="preserve">project investment </w:t>
      </w:r>
      <w:r w:rsidRPr="002A3203">
        <w:rPr>
          <w:rFonts w:cstheme="minorHAnsi"/>
        </w:rPr>
        <w:t>analysis of opportunities for building decarbonization improvements</w:t>
      </w:r>
      <w:r>
        <w:rPr>
          <w:rFonts w:cstheme="minorHAnsi"/>
        </w:rPr>
        <w:t>,</w:t>
      </w:r>
      <w:r w:rsidRPr="002A3203">
        <w:rPr>
          <w:rFonts w:cstheme="minorHAnsi"/>
        </w:rPr>
        <w:t xml:space="preserve"> including energy efficiency; beneficial electrification; building operations; and </w:t>
      </w:r>
      <w:r>
        <w:rPr>
          <w:rFonts w:cstheme="minorHAnsi"/>
        </w:rPr>
        <w:t xml:space="preserve">on-site </w:t>
      </w:r>
      <w:r w:rsidRPr="002A3203">
        <w:rPr>
          <w:rFonts w:cstheme="minorHAnsi"/>
        </w:rPr>
        <w:t>renewable energy.</w:t>
      </w:r>
    </w:p>
    <w:p w14:paraId="5BBFC328" w14:textId="77777777" w:rsidR="001A5C1C" w:rsidRPr="002A3203" w:rsidRDefault="001A5C1C" w:rsidP="001A5C1C">
      <w:pPr>
        <w:ind w:left="1170"/>
        <w:rPr>
          <w:rFonts w:cstheme="minorHAnsi"/>
        </w:rPr>
      </w:pPr>
    </w:p>
    <w:p w14:paraId="66AECCAA" w14:textId="77777777" w:rsidR="001A5C1C" w:rsidRPr="007A6D3E" w:rsidRDefault="001A5C1C" w:rsidP="001A5C1C">
      <w:pPr>
        <w:pStyle w:val="ListParagraph"/>
        <w:numPr>
          <w:ilvl w:val="0"/>
          <w:numId w:val="9"/>
        </w:numPr>
        <w:spacing w:after="0" w:line="240" w:lineRule="auto"/>
        <w:ind w:right="0"/>
        <w:rPr>
          <w:rFonts w:cstheme="minorHAnsi"/>
        </w:rPr>
      </w:pPr>
      <w:r>
        <w:rPr>
          <w:rFonts w:cstheme="minorHAnsi"/>
        </w:rPr>
        <w:t>Policy &amp; Regulation Review</w:t>
      </w:r>
    </w:p>
    <w:p w14:paraId="5AEE8E9E" w14:textId="77777777" w:rsidR="001A5C1C" w:rsidRPr="007A6D3E" w:rsidRDefault="001A5C1C" w:rsidP="001A5C1C">
      <w:pPr>
        <w:pStyle w:val="ListParagraph"/>
        <w:ind w:left="1170"/>
        <w:rPr>
          <w:rFonts w:cstheme="minorHAnsi"/>
        </w:rPr>
      </w:pPr>
    </w:p>
    <w:p w14:paraId="0CE21CB7" w14:textId="77777777" w:rsidR="001A5C1C" w:rsidRPr="007A6D3E" w:rsidRDefault="001A5C1C" w:rsidP="001A5C1C">
      <w:pPr>
        <w:ind w:left="1170"/>
        <w:rPr>
          <w:rFonts w:cstheme="minorHAnsi"/>
        </w:rPr>
      </w:pPr>
      <w:r w:rsidRPr="007A6D3E">
        <w:rPr>
          <w:rFonts w:cstheme="minorHAnsi"/>
        </w:rPr>
        <w:t xml:space="preserve">Evaluation of current and planned </w:t>
      </w:r>
      <w:r>
        <w:rPr>
          <w:rFonts w:cstheme="minorHAnsi"/>
        </w:rPr>
        <w:t>government</w:t>
      </w:r>
      <w:r w:rsidRPr="007A6D3E">
        <w:rPr>
          <w:rFonts w:cstheme="minorHAnsi"/>
        </w:rPr>
        <w:t xml:space="preserve"> policies and regulations that encourage building decarbonization, penalize poor building </w:t>
      </w:r>
      <w:r>
        <w:rPr>
          <w:rFonts w:cstheme="minorHAnsi"/>
        </w:rPr>
        <w:t xml:space="preserve">energy or emissions </w:t>
      </w:r>
      <w:r w:rsidRPr="007A6D3E">
        <w:rPr>
          <w:rFonts w:cstheme="minorHAnsi"/>
        </w:rPr>
        <w:t>performance</w:t>
      </w:r>
      <w:r>
        <w:rPr>
          <w:rFonts w:cstheme="minorHAnsi"/>
        </w:rPr>
        <w:t>,</w:t>
      </w:r>
      <w:r w:rsidRPr="007A6D3E">
        <w:rPr>
          <w:rFonts w:cstheme="minorHAnsi"/>
        </w:rPr>
        <w:t xml:space="preserve"> or restrict building system replacements and improvements.</w:t>
      </w:r>
    </w:p>
    <w:p w14:paraId="59745FBC" w14:textId="77777777" w:rsidR="001A5C1C" w:rsidRPr="00595EBF" w:rsidRDefault="001A5C1C" w:rsidP="001A5C1C">
      <w:pPr>
        <w:ind w:left="1170"/>
        <w:rPr>
          <w:rFonts w:cstheme="minorHAnsi"/>
          <w:highlight w:val="yellow"/>
        </w:rPr>
      </w:pPr>
    </w:p>
    <w:p w14:paraId="6089A588" w14:textId="77777777" w:rsidR="001A5C1C" w:rsidRPr="007A6D3E" w:rsidRDefault="001A5C1C" w:rsidP="001A5C1C">
      <w:pPr>
        <w:pStyle w:val="ListParagraph"/>
        <w:numPr>
          <w:ilvl w:val="0"/>
          <w:numId w:val="9"/>
        </w:numPr>
        <w:spacing w:after="0" w:line="240" w:lineRule="auto"/>
        <w:ind w:right="0"/>
        <w:rPr>
          <w:rFonts w:cstheme="minorHAnsi"/>
        </w:rPr>
      </w:pPr>
      <w:r>
        <w:rPr>
          <w:rFonts w:cstheme="minorHAnsi"/>
        </w:rPr>
        <w:t xml:space="preserve">Financial </w:t>
      </w:r>
      <w:r w:rsidRPr="007A6D3E">
        <w:rPr>
          <w:rFonts w:cstheme="minorHAnsi"/>
        </w:rPr>
        <w:t xml:space="preserve">Incentives </w:t>
      </w:r>
      <w:r>
        <w:rPr>
          <w:rFonts w:cstheme="minorHAnsi"/>
        </w:rPr>
        <w:t>Review</w:t>
      </w:r>
    </w:p>
    <w:p w14:paraId="1BA04460" w14:textId="77777777" w:rsidR="001A5C1C" w:rsidRPr="007A6D3E" w:rsidRDefault="001A5C1C" w:rsidP="001A5C1C">
      <w:pPr>
        <w:pStyle w:val="ListParagraph"/>
        <w:ind w:left="1170"/>
        <w:rPr>
          <w:rFonts w:cstheme="minorHAnsi"/>
        </w:rPr>
      </w:pPr>
    </w:p>
    <w:p w14:paraId="6E6BD4EA" w14:textId="77777777" w:rsidR="001A5C1C" w:rsidRPr="007A6D3E" w:rsidRDefault="001A5C1C" w:rsidP="001A5C1C">
      <w:pPr>
        <w:pStyle w:val="ListParagraph"/>
        <w:ind w:left="1170"/>
        <w:rPr>
          <w:rFonts w:cstheme="minorHAnsi"/>
        </w:rPr>
      </w:pPr>
      <w:r w:rsidRPr="007A6D3E">
        <w:rPr>
          <w:rFonts w:cstheme="minorHAnsi"/>
        </w:rPr>
        <w:t>Evaluation of utility</w:t>
      </w:r>
      <w:r>
        <w:rPr>
          <w:rFonts w:cstheme="minorHAnsi"/>
        </w:rPr>
        <w:t xml:space="preserve"> and</w:t>
      </w:r>
      <w:r w:rsidRPr="007A6D3E">
        <w:rPr>
          <w:rFonts w:cstheme="minorHAnsi"/>
        </w:rPr>
        <w:t xml:space="preserve"> government financial incentives</w:t>
      </w:r>
      <w:r>
        <w:rPr>
          <w:rFonts w:cstheme="minorHAnsi"/>
        </w:rPr>
        <w:t xml:space="preserve"> and rebates to support </w:t>
      </w:r>
      <w:r w:rsidRPr="007A6D3E">
        <w:rPr>
          <w:rFonts w:cstheme="minorHAnsi"/>
        </w:rPr>
        <w:t xml:space="preserve">investment in building decarbonization measures for new construction, </w:t>
      </w:r>
      <w:r>
        <w:rPr>
          <w:rFonts w:cstheme="minorHAnsi"/>
        </w:rPr>
        <w:t xml:space="preserve">building </w:t>
      </w:r>
      <w:r w:rsidRPr="007A6D3E">
        <w:rPr>
          <w:rFonts w:cstheme="minorHAnsi"/>
        </w:rPr>
        <w:t>renovation, retrofit and replacement projects.</w:t>
      </w:r>
    </w:p>
    <w:p w14:paraId="46DF01E4" w14:textId="77777777" w:rsidR="002C7B1C" w:rsidRPr="0016207E" w:rsidRDefault="002C7B1C" w:rsidP="001A5C1C">
      <w:pPr>
        <w:pStyle w:val="ListParagraph"/>
        <w:ind w:left="1170"/>
        <w:rPr>
          <w:rFonts w:cstheme="minorHAnsi"/>
          <w:highlight w:val="yellow"/>
        </w:rPr>
      </w:pPr>
    </w:p>
    <w:p w14:paraId="7EAC7931" w14:textId="77777777" w:rsidR="00B73064" w:rsidRDefault="00B73064">
      <w:pPr>
        <w:spacing w:after="0" w:line="240" w:lineRule="auto"/>
        <w:ind w:left="0" w:right="0" w:firstLine="0"/>
        <w:rPr>
          <w:rFonts w:cstheme="minorHAnsi"/>
        </w:rPr>
      </w:pPr>
      <w:r>
        <w:rPr>
          <w:rFonts w:cstheme="minorHAnsi"/>
        </w:rPr>
        <w:br w:type="page"/>
      </w:r>
    </w:p>
    <w:p w14:paraId="14C93233" w14:textId="55F04C50" w:rsidR="001A5C1C" w:rsidRDefault="001A5C1C" w:rsidP="001A5C1C">
      <w:pPr>
        <w:pStyle w:val="ListParagraph"/>
        <w:numPr>
          <w:ilvl w:val="0"/>
          <w:numId w:val="9"/>
        </w:numPr>
        <w:spacing w:after="0" w:line="240" w:lineRule="auto"/>
        <w:ind w:right="0"/>
        <w:rPr>
          <w:rFonts w:cstheme="minorHAnsi"/>
        </w:rPr>
      </w:pPr>
      <w:r w:rsidRPr="0016207E">
        <w:rPr>
          <w:rFonts w:cstheme="minorHAnsi"/>
        </w:rPr>
        <w:lastRenderedPageBreak/>
        <w:t>Emission Reduction Roadmap</w:t>
      </w:r>
    </w:p>
    <w:p w14:paraId="05978BD3" w14:textId="77777777" w:rsidR="001A5C1C" w:rsidRDefault="001A5C1C" w:rsidP="001A5C1C">
      <w:pPr>
        <w:pStyle w:val="ListParagraph"/>
        <w:ind w:left="1170"/>
        <w:rPr>
          <w:rFonts w:cstheme="minorHAnsi"/>
        </w:rPr>
      </w:pPr>
    </w:p>
    <w:p w14:paraId="21DBC118" w14:textId="77777777" w:rsidR="001A5C1C" w:rsidRPr="00D917EB" w:rsidRDefault="001A5C1C" w:rsidP="001A5C1C">
      <w:pPr>
        <w:pStyle w:val="ListParagraph"/>
        <w:ind w:left="1170"/>
        <w:rPr>
          <w:rFonts w:cstheme="minorHAnsi"/>
        </w:rPr>
      </w:pPr>
      <w:r>
        <w:rPr>
          <w:rFonts w:cstheme="minorHAnsi"/>
        </w:rPr>
        <w:t xml:space="preserve">Development of a short-term </w:t>
      </w:r>
      <w:r w:rsidRPr="00D917EB">
        <w:rPr>
          <w:rFonts w:cstheme="minorHAnsi"/>
        </w:rPr>
        <w:t>plan</w:t>
      </w:r>
      <w:r>
        <w:rPr>
          <w:rFonts w:cstheme="minorHAnsi"/>
        </w:rPr>
        <w:t xml:space="preserve"> for implementing building decarbonization measures aligned with regulatory requirements, emission reduction targets and equipment replacement schedules.</w:t>
      </w:r>
    </w:p>
    <w:p w14:paraId="068B8C57" w14:textId="77777777" w:rsidR="001A5C1C" w:rsidRPr="007A76CD" w:rsidRDefault="001A5C1C" w:rsidP="001A5C1C">
      <w:pPr>
        <w:rPr>
          <w:rFonts w:cstheme="minorHAnsi"/>
        </w:rPr>
      </w:pPr>
    </w:p>
    <w:p w14:paraId="3293982F" w14:textId="77777777" w:rsidR="001A5C1C" w:rsidRPr="00314733" w:rsidRDefault="001A5C1C" w:rsidP="001A5C1C">
      <w:pPr>
        <w:pStyle w:val="ListParagraph"/>
        <w:numPr>
          <w:ilvl w:val="0"/>
          <w:numId w:val="9"/>
        </w:numPr>
        <w:spacing w:after="0" w:line="240" w:lineRule="auto"/>
        <w:ind w:right="0"/>
        <w:rPr>
          <w:rFonts w:cstheme="minorHAnsi"/>
        </w:rPr>
      </w:pPr>
      <w:r w:rsidRPr="00314733">
        <w:rPr>
          <w:rFonts w:cstheme="minorHAnsi"/>
        </w:rPr>
        <w:t>Facility Capital Planning</w:t>
      </w:r>
    </w:p>
    <w:p w14:paraId="63420DDA" w14:textId="77777777" w:rsidR="001A5C1C" w:rsidRPr="00314733" w:rsidRDefault="001A5C1C" w:rsidP="001A5C1C">
      <w:pPr>
        <w:pStyle w:val="ListParagraph"/>
        <w:ind w:left="1170"/>
        <w:rPr>
          <w:rFonts w:cstheme="minorHAnsi"/>
        </w:rPr>
      </w:pPr>
    </w:p>
    <w:p w14:paraId="781A48AC" w14:textId="77777777" w:rsidR="001A5C1C" w:rsidRPr="0016207E" w:rsidRDefault="001A5C1C" w:rsidP="001A5C1C">
      <w:pPr>
        <w:pStyle w:val="ListParagraph"/>
        <w:ind w:left="1170"/>
        <w:rPr>
          <w:rFonts w:cstheme="minorHAnsi"/>
        </w:rPr>
      </w:pPr>
      <w:r w:rsidRPr="00314733">
        <w:rPr>
          <w:rFonts w:cstheme="minorHAnsi"/>
        </w:rPr>
        <w:t>A short-term plan that identifies future capital projects and equipment purchases</w:t>
      </w:r>
      <w:r>
        <w:rPr>
          <w:rFonts w:cstheme="minorHAnsi"/>
        </w:rPr>
        <w:t xml:space="preserve">, a projected </w:t>
      </w:r>
      <w:r w:rsidRPr="00314733">
        <w:rPr>
          <w:rFonts w:cstheme="minorHAnsi"/>
        </w:rPr>
        <w:t>schedule</w:t>
      </w:r>
      <w:r>
        <w:rPr>
          <w:rFonts w:cstheme="minorHAnsi"/>
        </w:rPr>
        <w:t xml:space="preserve"> for implementation</w:t>
      </w:r>
      <w:r w:rsidRPr="00314733">
        <w:rPr>
          <w:rFonts w:cstheme="minorHAnsi"/>
        </w:rPr>
        <w:t xml:space="preserve">, </w:t>
      </w:r>
      <w:r>
        <w:rPr>
          <w:rFonts w:cstheme="minorHAnsi"/>
        </w:rPr>
        <w:t xml:space="preserve">any implementation </w:t>
      </w:r>
      <w:proofErr w:type="gramStart"/>
      <w:r>
        <w:rPr>
          <w:rFonts w:cstheme="minorHAnsi"/>
        </w:rPr>
        <w:t>dependencies</w:t>
      </w:r>
      <w:proofErr w:type="gramEnd"/>
      <w:r>
        <w:rPr>
          <w:rFonts w:cstheme="minorHAnsi"/>
        </w:rPr>
        <w:t xml:space="preserve"> </w:t>
      </w:r>
      <w:r w:rsidRPr="00314733">
        <w:rPr>
          <w:rFonts w:cstheme="minorHAnsi"/>
        </w:rPr>
        <w:t>and options for financing the plan.</w:t>
      </w:r>
    </w:p>
    <w:p w14:paraId="2362DE94" w14:textId="77777777" w:rsidR="001A5C1C" w:rsidRDefault="001A5C1C" w:rsidP="001A5C1C">
      <w:pPr>
        <w:ind w:left="450"/>
        <w:rPr>
          <w:rFonts w:cstheme="minorHAnsi"/>
          <w:b/>
          <w:bCs/>
        </w:rPr>
      </w:pPr>
    </w:p>
    <w:p w14:paraId="2301A36B" w14:textId="77777777" w:rsidR="001A5C1C" w:rsidRDefault="001A5C1C" w:rsidP="001A5C1C">
      <w:pPr>
        <w:ind w:left="450"/>
        <w:rPr>
          <w:rFonts w:cstheme="minorHAnsi"/>
          <w:b/>
          <w:bCs/>
        </w:rPr>
      </w:pPr>
      <w:r w:rsidRPr="0016207E">
        <w:rPr>
          <w:rFonts w:cstheme="minorHAnsi"/>
          <w:b/>
          <w:bCs/>
        </w:rPr>
        <w:t>Project Development</w:t>
      </w:r>
      <w:r>
        <w:rPr>
          <w:rFonts w:cstheme="minorHAnsi"/>
          <w:b/>
          <w:bCs/>
        </w:rPr>
        <w:t xml:space="preserve"> Practices</w:t>
      </w:r>
    </w:p>
    <w:p w14:paraId="10E6F692" w14:textId="77777777" w:rsidR="001A5C1C" w:rsidRPr="0016207E" w:rsidRDefault="001A5C1C" w:rsidP="001A5C1C">
      <w:pPr>
        <w:ind w:left="450"/>
        <w:rPr>
          <w:rFonts w:cstheme="minorHAnsi"/>
          <w:b/>
          <w:bCs/>
        </w:rPr>
      </w:pPr>
    </w:p>
    <w:p w14:paraId="078E0972"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Integrated Project Delivery</w:t>
      </w:r>
    </w:p>
    <w:p w14:paraId="6F0D1C0C" w14:textId="77777777" w:rsidR="001A5C1C" w:rsidRDefault="001A5C1C" w:rsidP="001A5C1C">
      <w:pPr>
        <w:pStyle w:val="ListParagraph"/>
        <w:ind w:left="1170"/>
        <w:rPr>
          <w:rFonts w:cstheme="minorHAnsi"/>
        </w:rPr>
      </w:pPr>
    </w:p>
    <w:p w14:paraId="64F9FD0E" w14:textId="77777777" w:rsidR="001A5C1C" w:rsidRDefault="001A5C1C" w:rsidP="001A5C1C">
      <w:pPr>
        <w:pStyle w:val="ListParagraph"/>
        <w:ind w:left="1170"/>
        <w:rPr>
          <w:rFonts w:cstheme="minorHAnsi"/>
        </w:rPr>
      </w:pPr>
      <w:r>
        <w:rPr>
          <w:rFonts w:cstheme="minorHAnsi"/>
        </w:rPr>
        <w:t>A</w:t>
      </w:r>
      <w:r w:rsidRPr="0016207E">
        <w:rPr>
          <w:rFonts w:cstheme="minorHAnsi"/>
        </w:rPr>
        <w:t xml:space="preserve"> </w:t>
      </w:r>
      <w:r>
        <w:rPr>
          <w:rFonts w:cstheme="minorHAnsi"/>
        </w:rPr>
        <w:t xml:space="preserve">new construction and building renovation design and </w:t>
      </w:r>
      <w:r w:rsidRPr="0016207E">
        <w:rPr>
          <w:rFonts w:cstheme="minorHAnsi"/>
        </w:rPr>
        <w:t xml:space="preserve">delivery method that </w:t>
      </w:r>
      <w:r>
        <w:rPr>
          <w:rFonts w:cstheme="minorHAnsi"/>
        </w:rPr>
        <w:t>leverages</w:t>
      </w:r>
      <w:r w:rsidRPr="0016207E">
        <w:rPr>
          <w:rFonts w:cstheme="minorHAnsi"/>
        </w:rPr>
        <w:t xml:space="preserve"> </w:t>
      </w:r>
      <w:r>
        <w:rPr>
          <w:rFonts w:cstheme="minorHAnsi"/>
        </w:rPr>
        <w:t xml:space="preserve">the </w:t>
      </w:r>
      <w:r w:rsidRPr="0016207E">
        <w:rPr>
          <w:rFonts w:cstheme="minorHAnsi"/>
        </w:rPr>
        <w:t xml:space="preserve">involvement of </w:t>
      </w:r>
      <w:r>
        <w:rPr>
          <w:rFonts w:cstheme="minorHAnsi"/>
        </w:rPr>
        <w:t xml:space="preserve">project </w:t>
      </w:r>
      <w:r w:rsidRPr="0016207E">
        <w:rPr>
          <w:rFonts w:cstheme="minorHAnsi"/>
        </w:rPr>
        <w:t xml:space="preserve">participants </w:t>
      </w:r>
      <w:r>
        <w:rPr>
          <w:rFonts w:cstheme="minorHAnsi"/>
        </w:rPr>
        <w:t xml:space="preserve">and stakeholders </w:t>
      </w:r>
      <w:r w:rsidRPr="0016207E">
        <w:rPr>
          <w:rFonts w:cstheme="minorHAnsi"/>
        </w:rPr>
        <w:t>through all phases of design, fabrication, construction</w:t>
      </w:r>
      <w:r>
        <w:rPr>
          <w:rFonts w:cstheme="minorHAnsi"/>
        </w:rPr>
        <w:t>, commissioning, and building operation.</w:t>
      </w:r>
    </w:p>
    <w:p w14:paraId="656DF64C" w14:textId="77777777" w:rsidR="001A5C1C" w:rsidRPr="0016207E" w:rsidRDefault="001A5C1C" w:rsidP="001A5C1C">
      <w:pPr>
        <w:pStyle w:val="ListParagraph"/>
        <w:ind w:left="1170"/>
        <w:rPr>
          <w:rFonts w:cstheme="minorHAnsi"/>
        </w:rPr>
      </w:pPr>
    </w:p>
    <w:p w14:paraId="468EB73F"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Energy Modeling</w:t>
      </w:r>
    </w:p>
    <w:p w14:paraId="6C18CC78" w14:textId="77777777" w:rsidR="001A5C1C" w:rsidRDefault="001A5C1C" w:rsidP="001A5C1C">
      <w:pPr>
        <w:pStyle w:val="ListParagraph"/>
        <w:ind w:left="1170"/>
        <w:rPr>
          <w:rFonts w:cstheme="minorHAnsi"/>
        </w:rPr>
      </w:pPr>
    </w:p>
    <w:p w14:paraId="0E68F69B" w14:textId="77777777" w:rsidR="001A5C1C" w:rsidRDefault="001A5C1C" w:rsidP="001A5C1C">
      <w:pPr>
        <w:pStyle w:val="ListParagraph"/>
        <w:ind w:left="1170"/>
        <w:rPr>
          <w:rFonts w:cstheme="minorHAnsi"/>
        </w:rPr>
      </w:pPr>
      <w:r>
        <w:rPr>
          <w:rFonts w:cstheme="minorHAnsi"/>
        </w:rPr>
        <w:t>A c</w:t>
      </w:r>
      <w:r w:rsidRPr="0016207E">
        <w:rPr>
          <w:rFonts w:cstheme="minorHAnsi"/>
        </w:rPr>
        <w:t xml:space="preserve">omputer simulation of a building used to estimate building </w:t>
      </w:r>
      <w:r>
        <w:rPr>
          <w:rFonts w:cstheme="minorHAnsi"/>
        </w:rPr>
        <w:t>heating, cooling and process loads on an hourly basis and determine predicted energy and indoor environmental performance based on building system and equipment selection.</w:t>
      </w:r>
    </w:p>
    <w:p w14:paraId="6BC95812" w14:textId="77777777" w:rsidR="001A5C1C" w:rsidRPr="0016207E" w:rsidRDefault="001A5C1C" w:rsidP="001A5C1C">
      <w:pPr>
        <w:pStyle w:val="ListParagraph"/>
        <w:ind w:left="1170"/>
        <w:rPr>
          <w:rFonts w:cstheme="minorHAnsi"/>
        </w:rPr>
      </w:pPr>
    </w:p>
    <w:p w14:paraId="26449A7C"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Life</w:t>
      </w:r>
      <w:r>
        <w:rPr>
          <w:rFonts w:cstheme="minorHAnsi"/>
        </w:rPr>
        <w:t>-</w:t>
      </w:r>
      <w:r w:rsidRPr="0016207E">
        <w:rPr>
          <w:rFonts w:cstheme="minorHAnsi"/>
        </w:rPr>
        <w:t>Cycle Cost Analysis</w:t>
      </w:r>
    </w:p>
    <w:p w14:paraId="30E748C3" w14:textId="77777777" w:rsidR="001A5C1C" w:rsidRDefault="001A5C1C" w:rsidP="001A5C1C">
      <w:pPr>
        <w:pStyle w:val="ListParagraph"/>
        <w:ind w:left="1170"/>
        <w:rPr>
          <w:rFonts w:cstheme="minorHAnsi"/>
        </w:rPr>
      </w:pPr>
    </w:p>
    <w:p w14:paraId="33DF1FC8" w14:textId="77777777" w:rsidR="001A5C1C" w:rsidRDefault="001A5C1C" w:rsidP="001A5C1C">
      <w:pPr>
        <w:pStyle w:val="ListParagraph"/>
        <w:ind w:left="1170"/>
        <w:rPr>
          <w:rFonts w:cstheme="minorHAnsi"/>
        </w:rPr>
      </w:pPr>
      <w:r>
        <w:rPr>
          <w:rFonts w:cstheme="minorHAnsi"/>
        </w:rPr>
        <w:t>A method for e</w:t>
      </w:r>
      <w:r w:rsidRPr="0016207E">
        <w:rPr>
          <w:rFonts w:cstheme="minorHAnsi"/>
        </w:rPr>
        <w:t xml:space="preserve">conomic evaluation </w:t>
      </w:r>
      <w:r>
        <w:rPr>
          <w:rFonts w:cstheme="minorHAnsi"/>
        </w:rPr>
        <w:t>of</w:t>
      </w:r>
      <w:r w:rsidRPr="0016207E">
        <w:rPr>
          <w:rFonts w:cstheme="minorHAnsi"/>
        </w:rPr>
        <w:t xml:space="preserve"> the </w:t>
      </w:r>
      <w:r>
        <w:rPr>
          <w:rFonts w:cstheme="minorHAnsi"/>
        </w:rPr>
        <w:t xml:space="preserve">total </w:t>
      </w:r>
      <w:r w:rsidRPr="0016207E">
        <w:rPr>
          <w:rFonts w:cstheme="minorHAnsi"/>
        </w:rPr>
        <w:t xml:space="preserve">costs and savings of alternative </w:t>
      </w:r>
      <w:r>
        <w:rPr>
          <w:rFonts w:cstheme="minorHAnsi"/>
        </w:rPr>
        <w:t xml:space="preserve">building and system </w:t>
      </w:r>
      <w:r w:rsidRPr="0016207E">
        <w:rPr>
          <w:rFonts w:cstheme="minorHAnsi"/>
        </w:rPr>
        <w:t>designs</w:t>
      </w:r>
      <w:r>
        <w:rPr>
          <w:rFonts w:cstheme="minorHAnsi"/>
        </w:rPr>
        <w:t xml:space="preserve"> for construction, renovation, and equipment replacements </w:t>
      </w:r>
      <w:r w:rsidRPr="0016207E">
        <w:rPr>
          <w:rFonts w:cstheme="minorHAnsi"/>
        </w:rPr>
        <w:t xml:space="preserve">over the </w:t>
      </w:r>
      <w:r>
        <w:rPr>
          <w:rFonts w:cstheme="minorHAnsi"/>
        </w:rPr>
        <w:t xml:space="preserve">entire building </w:t>
      </w:r>
      <w:r w:rsidRPr="0016207E">
        <w:rPr>
          <w:rFonts w:cstheme="minorHAnsi"/>
        </w:rPr>
        <w:t>life</w:t>
      </w:r>
      <w:r>
        <w:rPr>
          <w:rFonts w:cstheme="minorHAnsi"/>
        </w:rPr>
        <w:t xml:space="preserve"> c</w:t>
      </w:r>
      <w:r w:rsidRPr="0016207E">
        <w:rPr>
          <w:rFonts w:cstheme="minorHAnsi"/>
        </w:rPr>
        <w:t>ycle.</w:t>
      </w:r>
    </w:p>
    <w:p w14:paraId="11D30550" w14:textId="77777777" w:rsidR="001A5C1C" w:rsidRPr="0016207E" w:rsidRDefault="001A5C1C" w:rsidP="001A5C1C">
      <w:pPr>
        <w:pStyle w:val="ListParagraph"/>
        <w:ind w:left="1170"/>
        <w:rPr>
          <w:rFonts w:cstheme="minorHAnsi"/>
        </w:rPr>
      </w:pPr>
    </w:p>
    <w:p w14:paraId="677F96BE" w14:textId="77777777" w:rsidR="001A5C1C" w:rsidRPr="00D917EB" w:rsidRDefault="001A5C1C" w:rsidP="001A5C1C">
      <w:pPr>
        <w:pStyle w:val="ListParagraph"/>
        <w:numPr>
          <w:ilvl w:val="0"/>
          <w:numId w:val="9"/>
        </w:numPr>
        <w:spacing w:after="0" w:line="240" w:lineRule="auto"/>
        <w:ind w:right="0"/>
        <w:rPr>
          <w:rFonts w:cstheme="minorHAnsi"/>
        </w:rPr>
      </w:pPr>
      <w:r w:rsidRPr="0016207E">
        <w:rPr>
          <w:rFonts w:cstheme="minorHAnsi"/>
        </w:rPr>
        <w:t>Building Life</w:t>
      </w:r>
      <w:r>
        <w:rPr>
          <w:rFonts w:cstheme="minorHAnsi"/>
        </w:rPr>
        <w:t>-</w:t>
      </w:r>
      <w:r w:rsidRPr="0016207E">
        <w:rPr>
          <w:rFonts w:cstheme="minorHAnsi"/>
        </w:rPr>
        <w:t xml:space="preserve">Cycle Emissions </w:t>
      </w:r>
      <w:r>
        <w:rPr>
          <w:rFonts w:cstheme="minorHAnsi"/>
        </w:rPr>
        <w:t>Assessment</w:t>
      </w:r>
    </w:p>
    <w:p w14:paraId="24C6D835" w14:textId="77777777" w:rsidR="001A5C1C" w:rsidRDefault="001A5C1C" w:rsidP="001A5C1C">
      <w:pPr>
        <w:pStyle w:val="ListParagraph"/>
        <w:ind w:left="1170"/>
      </w:pPr>
    </w:p>
    <w:p w14:paraId="7B613348" w14:textId="77777777" w:rsidR="001A5C1C" w:rsidRDefault="001A5C1C" w:rsidP="001A5C1C">
      <w:pPr>
        <w:pStyle w:val="ListParagraph"/>
        <w:ind w:left="1170"/>
        <w:rPr>
          <w:rFonts w:cstheme="minorHAnsi"/>
        </w:rPr>
      </w:pPr>
      <w:r>
        <w:t xml:space="preserve">A </w:t>
      </w:r>
      <w:r w:rsidRPr="0016207E">
        <w:rPr>
          <w:rFonts w:cstheme="minorHAnsi"/>
        </w:rPr>
        <w:t>method that quantifies the environmental impact of a building throughout its entire life</w:t>
      </w:r>
      <w:r>
        <w:rPr>
          <w:rFonts w:cstheme="minorHAnsi"/>
        </w:rPr>
        <w:t xml:space="preserve"> </w:t>
      </w:r>
      <w:r w:rsidRPr="0016207E">
        <w:rPr>
          <w:rFonts w:cstheme="minorHAnsi"/>
        </w:rPr>
        <w:t xml:space="preserve">cycle, including aspects such as energy </w:t>
      </w:r>
      <w:r>
        <w:rPr>
          <w:rFonts w:cstheme="minorHAnsi"/>
        </w:rPr>
        <w:t xml:space="preserve">and water </w:t>
      </w:r>
      <w:r w:rsidRPr="0016207E">
        <w:rPr>
          <w:rFonts w:cstheme="minorHAnsi"/>
        </w:rPr>
        <w:t xml:space="preserve">use, </w:t>
      </w:r>
      <w:r>
        <w:rPr>
          <w:rFonts w:cstheme="minorHAnsi"/>
        </w:rPr>
        <w:t>greenhouse gas emissions</w:t>
      </w:r>
      <w:r w:rsidRPr="0016207E">
        <w:rPr>
          <w:rFonts w:cstheme="minorHAnsi"/>
        </w:rPr>
        <w:t>, habitat destruction, resource depletion, and toxic emissions</w:t>
      </w:r>
      <w:r>
        <w:rPr>
          <w:rFonts w:cstheme="minorHAnsi"/>
        </w:rPr>
        <w:t>.</w:t>
      </w:r>
    </w:p>
    <w:p w14:paraId="5AF93CAD" w14:textId="77777777" w:rsidR="001A5C1C" w:rsidRPr="00810CE5" w:rsidRDefault="001A5C1C" w:rsidP="001A5C1C">
      <w:pPr>
        <w:rPr>
          <w:rFonts w:cstheme="minorHAnsi"/>
        </w:rPr>
      </w:pPr>
    </w:p>
    <w:p w14:paraId="2699ABDD"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Information Management</w:t>
      </w:r>
    </w:p>
    <w:p w14:paraId="70631027" w14:textId="77777777" w:rsidR="001A5C1C" w:rsidRDefault="001A5C1C" w:rsidP="001A5C1C">
      <w:pPr>
        <w:pStyle w:val="ListParagraph"/>
        <w:ind w:left="1170"/>
        <w:rPr>
          <w:rFonts w:cstheme="minorHAnsi"/>
        </w:rPr>
      </w:pPr>
    </w:p>
    <w:p w14:paraId="236FA454" w14:textId="77777777" w:rsidR="001A5C1C" w:rsidRPr="0016207E" w:rsidRDefault="001A5C1C" w:rsidP="001A5C1C">
      <w:pPr>
        <w:pStyle w:val="ListParagraph"/>
        <w:ind w:left="1170"/>
        <w:rPr>
          <w:rFonts w:cstheme="minorHAnsi"/>
        </w:rPr>
      </w:pPr>
      <w:r>
        <w:rPr>
          <w:rFonts w:cstheme="minorHAnsi"/>
        </w:rPr>
        <w:t>A</w:t>
      </w:r>
      <w:r w:rsidRPr="0016207E">
        <w:rPr>
          <w:rFonts w:cstheme="minorHAnsi"/>
        </w:rPr>
        <w:t xml:space="preserve"> process supported by various tools, technologies, processes, and policies involving the generation and management of digital representations of </w:t>
      </w:r>
      <w:r>
        <w:rPr>
          <w:rFonts w:cstheme="minorHAnsi"/>
        </w:rPr>
        <w:t xml:space="preserve">the </w:t>
      </w:r>
      <w:r w:rsidRPr="0016207E">
        <w:rPr>
          <w:rFonts w:cstheme="minorHAnsi"/>
        </w:rPr>
        <w:t>physical and functional characteristics of facilities</w:t>
      </w:r>
      <w:r>
        <w:rPr>
          <w:rFonts w:cstheme="minorHAnsi"/>
        </w:rPr>
        <w:t>.</w:t>
      </w:r>
    </w:p>
    <w:p w14:paraId="0CFFDD3F" w14:textId="77777777" w:rsidR="001A5C1C" w:rsidRDefault="001A5C1C" w:rsidP="001A5C1C">
      <w:pPr>
        <w:ind w:left="450"/>
        <w:rPr>
          <w:rFonts w:cstheme="minorHAnsi"/>
          <w:b/>
          <w:bCs/>
        </w:rPr>
      </w:pPr>
    </w:p>
    <w:p w14:paraId="399519EB" w14:textId="77777777" w:rsidR="002C7B1C" w:rsidRDefault="002C7B1C" w:rsidP="001A5C1C">
      <w:pPr>
        <w:ind w:left="450"/>
        <w:rPr>
          <w:rFonts w:cstheme="minorHAnsi"/>
          <w:b/>
          <w:bCs/>
        </w:rPr>
      </w:pPr>
    </w:p>
    <w:p w14:paraId="2E0E64C6" w14:textId="77777777" w:rsidR="002C7B1C" w:rsidRDefault="002C7B1C" w:rsidP="001A5C1C">
      <w:pPr>
        <w:ind w:left="450"/>
        <w:rPr>
          <w:rFonts w:cstheme="minorHAnsi"/>
          <w:b/>
          <w:bCs/>
        </w:rPr>
      </w:pPr>
    </w:p>
    <w:p w14:paraId="4CB33712" w14:textId="77777777" w:rsidR="00B73064" w:rsidRDefault="00B73064">
      <w:pPr>
        <w:spacing w:after="0" w:line="240" w:lineRule="auto"/>
        <w:ind w:left="0" w:right="0" w:firstLine="0"/>
        <w:rPr>
          <w:rFonts w:cstheme="minorHAnsi"/>
          <w:b/>
          <w:bCs/>
        </w:rPr>
      </w:pPr>
      <w:r>
        <w:rPr>
          <w:rFonts w:cstheme="minorHAnsi"/>
          <w:b/>
          <w:bCs/>
        </w:rPr>
        <w:br w:type="page"/>
      </w:r>
    </w:p>
    <w:p w14:paraId="4ED76C3D" w14:textId="6419CBFB" w:rsidR="001A5C1C" w:rsidRDefault="001A5C1C" w:rsidP="001A5C1C">
      <w:pPr>
        <w:ind w:left="450"/>
        <w:rPr>
          <w:rFonts w:cstheme="minorHAnsi"/>
          <w:b/>
          <w:bCs/>
        </w:rPr>
      </w:pPr>
      <w:r>
        <w:rPr>
          <w:rFonts w:cstheme="minorHAnsi"/>
          <w:b/>
          <w:bCs/>
        </w:rPr>
        <w:lastRenderedPageBreak/>
        <w:t xml:space="preserve">Building </w:t>
      </w:r>
      <w:r w:rsidRPr="0016207E">
        <w:rPr>
          <w:rFonts w:cstheme="minorHAnsi"/>
          <w:b/>
          <w:bCs/>
        </w:rPr>
        <w:t>Construction &amp; Renovation</w:t>
      </w:r>
      <w:r>
        <w:rPr>
          <w:rFonts w:cstheme="minorHAnsi"/>
          <w:b/>
          <w:bCs/>
        </w:rPr>
        <w:t xml:space="preserve"> Practices</w:t>
      </w:r>
    </w:p>
    <w:p w14:paraId="39603C66" w14:textId="77777777" w:rsidR="001A5C1C" w:rsidRPr="0016207E" w:rsidRDefault="001A5C1C" w:rsidP="001A5C1C">
      <w:pPr>
        <w:ind w:left="450"/>
        <w:rPr>
          <w:rFonts w:cstheme="minorHAnsi"/>
          <w:b/>
          <w:bCs/>
        </w:rPr>
      </w:pPr>
    </w:p>
    <w:p w14:paraId="3BF9DF89"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Material Reuse</w:t>
      </w:r>
    </w:p>
    <w:p w14:paraId="7C01535F" w14:textId="77777777" w:rsidR="001A5C1C" w:rsidRDefault="001A5C1C" w:rsidP="001A5C1C">
      <w:pPr>
        <w:pStyle w:val="ListParagraph"/>
        <w:ind w:left="1170"/>
        <w:rPr>
          <w:rFonts w:cstheme="minorHAnsi"/>
        </w:rPr>
      </w:pPr>
    </w:p>
    <w:p w14:paraId="59E86416" w14:textId="77777777" w:rsidR="001A5C1C" w:rsidRDefault="001A5C1C" w:rsidP="001A5C1C">
      <w:pPr>
        <w:pStyle w:val="ListParagraph"/>
        <w:ind w:left="1170"/>
        <w:rPr>
          <w:rFonts w:cstheme="minorHAnsi"/>
        </w:rPr>
      </w:pPr>
      <w:r>
        <w:t>Reuse of existing construction elements and materials without reprocessing and the repurposing existing building structures for new uses (adaptive reuse).</w:t>
      </w:r>
      <w:hyperlink r:id="rId11" w:tgtFrame="_blank" w:history="1"/>
    </w:p>
    <w:p w14:paraId="43549481" w14:textId="77777777" w:rsidR="001A5C1C" w:rsidRPr="0016207E" w:rsidRDefault="001A5C1C" w:rsidP="001A5C1C">
      <w:pPr>
        <w:pStyle w:val="ListParagraph"/>
        <w:ind w:left="1170"/>
        <w:rPr>
          <w:rFonts w:cstheme="minorHAnsi"/>
        </w:rPr>
      </w:pPr>
    </w:p>
    <w:p w14:paraId="1ED20403" w14:textId="77777777" w:rsidR="001A5C1C" w:rsidRDefault="001A5C1C" w:rsidP="001A5C1C">
      <w:pPr>
        <w:pStyle w:val="ListParagraph"/>
        <w:numPr>
          <w:ilvl w:val="0"/>
          <w:numId w:val="9"/>
        </w:numPr>
        <w:spacing w:after="0" w:line="240" w:lineRule="auto"/>
        <w:ind w:right="0"/>
        <w:rPr>
          <w:rFonts w:cstheme="minorHAnsi"/>
        </w:rPr>
      </w:pPr>
      <w:r w:rsidRPr="006509C0">
        <w:rPr>
          <w:rFonts w:cstheme="minorHAnsi"/>
        </w:rPr>
        <w:t>Prefabrication &amp; Modular Construction</w:t>
      </w:r>
    </w:p>
    <w:p w14:paraId="79F0B72F" w14:textId="77777777" w:rsidR="001A5C1C" w:rsidRDefault="001A5C1C" w:rsidP="001A5C1C">
      <w:pPr>
        <w:pStyle w:val="ListParagraph"/>
        <w:ind w:left="1170"/>
        <w:rPr>
          <w:rFonts w:cstheme="minorHAnsi"/>
        </w:rPr>
      </w:pPr>
    </w:p>
    <w:p w14:paraId="22B08CF2" w14:textId="77777777" w:rsidR="001A5C1C" w:rsidRPr="006509C0" w:rsidRDefault="001A5C1C" w:rsidP="001A5C1C">
      <w:pPr>
        <w:pStyle w:val="ListParagraph"/>
        <w:ind w:left="1170"/>
        <w:rPr>
          <w:rFonts w:cstheme="minorHAnsi"/>
        </w:rPr>
      </w:pPr>
      <w:r>
        <w:rPr>
          <w:rFonts w:cstheme="minorHAnsi"/>
          <w:color w:val="111111"/>
        </w:rPr>
        <w:t>The m</w:t>
      </w:r>
      <w:r w:rsidRPr="006509C0">
        <w:rPr>
          <w:rFonts w:cstheme="minorHAnsi"/>
          <w:color w:val="111111"/>
        </w:rPr>
        <w:t xml:space="preserve">anufacturing </w:t>
      </w:r>
      <w:r>
        <w:rPr>
          <w:rFonts w:cstheme="minorHAnsi"/>
          <w:color w:val="111111"/>
        </w:rPr>
        <w:t xml:space="preserve">of building </w:t>
      </w:r>
      <w:r w:rsidRPr="006509C0">
        <w:rPr>
          <w:rFonts w:cstheme="minorHAnsi"/>
          <w:color w:val="111111"/>
        </w:rPr>
        <w:t xml:space="preserve">construction elements off-site and assembling them on-site, </w:t>
      </w:r>
      <w:r>
        <w:rPr>
          <w:rFonts w:cstheme="minorHAnsi"/>
          <w:color w:val="111111"/>
        </w:rPr>
        <w:t>often through</w:t>
      </w:r>
      <w:r w:rsidRPr="006509C0">
        <w:rPr>
          <w:rFonts w:cstheme="minorHAnsi"/>
          <w:color w:val="111111"/>
        </w:rPr>
        <w:t xml:space="preserve"> modular construction </w:t>
      </w:r>
      <w:r>
        <w:rPr>
          <w:rFonts w:cstheme="minorHAnsi"/>
          <w:color w:val="111111"/>
        </w:rPr>
        <w:t xml:space="preserve">methods </w:t>
      </w:r>
      <w:r w:rsidRPr="006509C0">
        <w:rPr>
          <w:rFonts w:cstheme="minorHAnsi"/>
          <w:color w:val="111111"/>
        </w:rPr>
        <w:t>using standardized modules.</w:t>
      </w:r>
    </w:p>
    <w:p w14:paraId="6A1BF7F4" w14:textId="77777777" w:rsidR="001A5C1C" w:rsidRPr="00810CE5" w:rsidRDefault="001A5C1C" w:rsidP="001A5C1C">
      <w:pPr>
        <w:rPr>
          <w:rFonts w:cstheme="minorHAnsi"/>
        </w:rPr>
      </w:pPr>
    </w:p>
    <w:p w14:paraId="4E0435E3"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Low Carbon Building Materials</w:t>
      </w:r>
    </w:p>
    <w:p w14:paraId="12943509" w14:textId="77777777" w:rsidR="001A5C1C" w:rsidRDefault="001A5C1C" w:rsidP="001A5C1C">
      <w:pPr>
        <w:pStyle w:val="ListParagraph"/>
        <w:ind w:left="1170"/>
        <w:rPr>
          <w:rFonts w:cstheme="minorHAnsi"/>
        </w:rPr>
      </w:pPr>
    </w:p>
    <w:p w14:paraId="5AC35F81" w14:textId="77777777" w:rsidR="001A5C1C" w:rsidRDefault="001A5C1C" w:rsidP="001A5C1C">
      <w:pPr>
        <w:pStyle w:val="ListParagraph"/>
        <w:ind w:left="1170"/>
        <w:rPr>
          <w:rFonts w:cstheme="minorHAnsi"/>
        </w:rPr>
      </w:pPr>
      <w:r>
        <w:t>M</w:t>
      </w:r>
      <w:r w:rsidRPr="00DB7CBB">
        <w:t xml:space="preserve">aterials used in construction </w:t>
      </w:r>
      <w:r>
        <w:t>with</w:t>
      </w:r>
      <w:r w:rsidRPr="00DB7CBB">
        <w:t xml:space="preserve"> a low carbon footprint in terms of greenhouse gas emissions generated during their manufacturing, transportation, installation, maintenance, and disposal</w:t>
      </w:r>
      <w:r>
        <w:t>.</w:t>
      </w:r>
    </w:p>
    <w:p w14:paraId="1433AB69" w14:textId="77777777" w:rsidR="001A5C1C" w:rsidRPr="00810CE5" w:rsidRDefault="001A5C1C" w:rsidP="001A5C1C">
      <w:pPr>
        <w:rPr>
          <w:rFonts w:cstheme="minorHAnsi"/>
        </w:rPr>
      </w:pPr>
    </w:p>
    <w:p w14:paraId="1D43A2EE"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 xml:space="preserve">Low </w:t>
      </w:r>
      <w:r>
        <w:rPr>
          <w:rFonts w:cstheme="minorHAnsi"/>
        </w:rPr>
        <w:t>GWP Refrigerants</w:t>
      </w:r>
    </w:p>
    <w:p w14:paraId="46CE3863" w14:textId="77777777" w:rsidR="001A5C1C" w:rsidRDefault="001A5C1C" w:rsidP="001A5C1C">
      <w:pPr>
        <w:pStyle w:val="ListParagraph"/>
        <w:ind w:left="1170"/>
        <w:rPr>
          <w:rFonts w:cstheme="minorHAnsi"/>
          <w:color w:val="111111"/>
        </w:rPr>
      </w:pPr>
    </w:p>
    <w:p w14:paraId="70560315" w14:textId="77777777" w:rsidR="001A5C1C" w:rsidRPr="001A3FA8" w:rsidRDefault="001A5C1C" w:rsidP="001A5C1C">
      <w:pPr>
        <w:pStyle w:val="ListParagraph"/>
        <w:ind w:left="1170"/>
        <w:rPr>
          <w:rFonts w:cstheme="minorHAnsi"/>
          <w:color w:val="111111"/>
        </w:rPr>
      </w:pPr>
      <w:r>
        <w:rPr>
          <w:rFonts w:cstheme="minorHAnsi"/>
          <w:color w:val="111111"/>
        </w:rPr>
        <w:t xml:space="preserve">Refrigerants used in HVAC/R equipment with low relative global warming potential, such as </w:t>
      </w:r>
      <w:r w:rsidRPr="001A3FA8">
        <w:rPr>
          <w:rFonts w:cstheme="minorHAnsi"/>
          <w:color w:val="111111"/>
        </w:rPr>
        <w:t xml:space="preserve">natural refrigerants, hydrocarbons, </w:t>
      </w:r>
      <w:proofErr w:type="spellStart"/>
      <w:r w:rsidRPr="001A3FA8">
        <w:rPr>
          <w:rFonts w:cstheme="minorHAnsi"/>
          <w:color w:val="111111"/>
        </w:rPr>
        <w:t>hydrofluoroolefins</w:t>
      </w:r>
      <w:proofErr w:type="spellEnd"/>
      <w:r w:rsidRPr="001A3FA8">
        <w:rPr>
          <w:rFonts w:cstheme="minorHAnsi"/>
          <w:color w:val="111111"/>
        </w:rPr>
        <w:t xml:space="preserve"> (HFOs), and some hydrofluorocarbons (HFCs).</w:t>
      </w:r>
    </w:p>
    <w:p w14:paraId="2EC123A8" w14:textId="77777777" w:rsidR="001A5C1C" w:rsidRDefault="001A5C1C" w:rsidP="001A5C1C">
      <w:pPr>
        <w:pStyle w:val="ListParagraph"/>
        <w:ind w:left="1170"/>
        <w:rPr>
          <w:rFonts w:ascii="Roboto" w:hAnsi="Roboto"/>
          <w:color w:val="111111"/>
        </w:rPr>
      </w:pPr>
    </w:p>
    <w:p w14:paraId="4281B494" w14:textId="77777777" w:rsidR="001A5C1C" w:rsidRPr="001A3FA8" w:rsidRDefault="001A5C1C" w:rsidP="001A5C1C">
      <w:pPr>
        <w:pStyle w:val="ListParagraph"/>
        <w:numPr>
          <w:ilvl w:val="0"/>
          <w:numId w:val="9"/>
        </w:numPr>
        <w:spacing w:after="0" w:line="240" w:lineRule="auto"/>
        <w:ind w:right="0"/>
        <w:rPr>
          <w:rFonts w:cstheme="minorHAnsi"/>
        </w:rPr>
      </w:pPr>
      <w:r>
        <w:rPr>
          <w:rFonts w:cstheme="minorHAnsi"/>
        </w:rPr>
        <w:t>C</w:t>
      </w:r>
      <w:r w:rsidRPr="001A3FA8">
        <w:rPr>
          <w:rFonts w:cstheme="minorHAnsi"/>
        </w:rPr>
        <w:t xml:space="preserve">onstruction </w:t>
      </w:r>
      <w:r>
        <w:rPr>
          <w:rFonts w:cstheme="minorHAnsi"/>
        </w:rPr>
        <w:t>M</w:t>
      </w:r>
      <w:r w:rsidRPr="001A3FA8">
        <w:rPr>
          <w:rFonts w:cstheme="minorHAnsi"/>
        </w:rPr>
        <w:t xml:space="preserve">aterial </w:t>
      </w:r>
      <w:r>
        <w:rPr>
          <w:rFonts w:cstheme="minorHAnsi"/>
        </w:rPr>
        <w:t>W</w:t>
      </w:r>
      <w:r w:rsidRPr="001A3FA8">
        <w:rPr>
          <w:rFonts w:cstheme="minorHAnsi"/>
        </w:rPr>
        <w:t xml:space="preserve">aste </w:t>
      </w:r>
      <w:r>
        <w:rPr>
          <w:rFonts w:cstheme="minorHAnsi"/>
        </w:rPr>
        <w:t>R</w:t>
      </w:r>
      <w:r w:rsidRPr="001A3FA8">
        <w:rPr>
          <w:rFonts w:cstheme="minorHAnsi"/>
        </w:rPr>
        <w:t>eduction</w:t>
      </w:r>
    </w:p>
    <w:p w14:paraId="04F975B9" w14:textId="77777777" w:rsidR="001A5C1C" w:rsidRDefault="001A5C1C" w:rsidP="001A5C1C">
      <w:pPr>
        <w:pStyle w:val="ListParagraph"/>
        <w:ind w:left="1170"/>
        <w:rPr>
          <w:rFonts w:cstheme="minorHAnsi"/>
        </w:rPr>
      </w:pPr>
    </w:p>
    <w:p w14:paraId="7125F985" w14:textId="77777777" w:rsidR="001A5C1C" w:rsidRPr="00DB7CBB" w:rsidRDefault="001A5C1C" w:rsidP="001A5C1C">
      <w:pPr>
        <w:pStyle w:val="ListParagraph"/>
        <w:ind w:left="1170"/>
        <w:rPr>
          <w:rFonts w:cstheme="minorHAnsi"/>
          <w:caps/>
        </w:rPr>
      </w:pPr>
      <w:r>
        <w:t>D</w:t>
      </w:r>
      <w:r w:rsidRPr="00DB7CBB">
        <w:t xml:space="preserve">iverting construction and demolition materials from disposal </w:t>
      </w:r>
      <w:r>
        <w:t xml:space="preserve">by using </w:t>
      </w:r>
      <w:r w:rsidRPr="00DB7CBB">
        <w:t xml:space="preserve">recycled products, practicing source reduction, preserving existing structures, salvaging </w:t>
      </w:r>
      <w:r>
        <w:t xml:space="preserve">construction structures, </w:t>
      </w:r>
      <w:r w:rsidRPr="00DB7CBB">
        <w:t>and reusing existing materials.</w:t>
      </w:r>
    </w:p>
    <w:p w14:paraId="58E24FD0" w14:textId="77777777" w:rsidR="001A5C1C" w:rsidRPr="00DB7CBB" w:rsidRDefault="001A5C1C" w:rsidP="001A5C1C">
      <w:pPr>
        <w:rPr>
          <w:rFonts w:cstheme="minorHAnsi"/>
          <w:b/>
          <w:bCs/>
          <w:caps/>
        </w:rPr>
      </w:pPr>
    </w:p>
    <w:p w14:paraId="7D1CB8FF" w14:textId="77777777" w:rsidR="001A5C1C" w:rsidRPr="0016207E" w:rsidRDefault="001A5C1C" w:rsidP="001A5C1C">
      <w:pPr>
        <w:rPr>
          <w:rFonts w:cstheme="minorHAnsi"/>
          <w:b/>
          <w:bCs/>
          <w:caps/>
        </w:rPr>
      </w:pPr>
      <w:r w:rsidRPr="0016207E">
        <w:rPr>
          <w:rFonts w:cstheme="minorHAnsi"/>
          <w:b/>
          <w:bCs/>
          <w:caps/>
        </w:rPr>
        <w:t>Building Systems and Equipment</w:t>
      </w:r>
    </w:p>
    <w:p w14:paraId="51F2180E" w14:textId="77777777" w:rsidR="001A5C1C" w:rsidRDefault="001A5C1C" w:rsidP="001A5C1C">
      <w:pPr>
        <w:ind w:left="540"/>
        <w:rPr>
          <w:rFonts w:cstheme="minorHAnsi"/>
          <w:b/>
          <w:bCs/>
        </w:rPr>
      </w:pPr>
    </w:p>
    <w:p w14:paraId="4F91AFDF" w14:textId="77777777" w:rsidR="001A5C1C" w:rsidRDefault="001A5C1C" w:rsidP="001A5C1C">
      <w:pPr>
        <w:ind w:left="540"/>
        <w:rPr>
          <w:rFonts w:cstheme="minorHAnsi"/>
          <w:b/>
          <w:bCs/>
        </w:rPr>
      </w:pPr>
      <w:r w:rsidRPr="0016207E">
        <w:rPr>
          <w:rFonts w:cstheme="minorHAnsi"/>
          <w:b/>
          <w:bCs/>
        </w:rPr>
        <w:t>Passive Efficiency</w:t>
      </w:r>
      <w:r>
        <w:rPr>
          <w:rFonts w:cstheme="minorHAnsi"/>
          <w:b/>
          <w:bCs/>
        </w:rPr>
        <w:t xml:space="preserve"> Measures</w:t>
      </w:r>
    </w:p>
    <w:p w14:paraId="2314CF3C" w14:textId="77777777" w:rsidR="001A5C1C" w:rsidRPr="0016207E" w:rsidRDefault="001A5C1C" w:rsidP="001A5C1C">
      <w:pPr>
        <w:ind w:left="540"/>
        <w:rPr>
          <w:rFonts w:cstheme="minorHAnsi"/>
          <w:b/>
          <w:bCs/>
        </w:rPr>
      </w:pPr>
    </w:p>
    <w:p w14:paraId="705F06BD" w14:textId="77777777" w:rsidR="001A5C1C" w:rsidRDefault="001A5C1C" w:rsidP="001A5C1C">
      <w:pPr>
        <w:pStyle w:val="ListParagraph"/>
        <w:numPr>
          <w:ilvl w:val="0"/>
          <w:numId w:val="9"/>
        </w:numPr>
        <w:spacing w:after="0" w:line="240" w:lineRule="auto"/>
        <w:ind w:right="0"/>
        <w:rPr>
          <w:rFonts w:cstheme="minorHAnsi"/>
        </w:rPr>
      </w:pPr>
      <w:r w:rsidRPr="00D5269E">
        <w:rPr>
          <w:rFonts w:cstheme="minorHAnsi"/>
        </w:rPr>
        <w:t>Building Thermal Envelope</w:t>
      </w:r>
    </w:p>
    <w:p w14:paraId="0892679E" w14:textId="77777777" w:rsidR="001A5C1C" w:rsidRDefault="001A5C1C" w:rsidP="001A5C1C">
      <w:pPr>
        <w:pStyle w:val="ListParagraph"/>
        <w:ind w:left="1170"/>
        <w:rPr>
          <w:rFonts w:cstheme="minorHAnsi"/>
        </w:rPr>
      </w:pPr>
    </w:p>
    <w:p w14:paraId="739DBB89" w14:textId="77777777" w:rsidR="001A5C1C" w:rsidRDefault="001A5C1C" w:rsidP="001A5C1C">
      <w:pPr>
        <w:pStyle w:val="ListParagraph"/>
        <w:ind w:left="1170"/>
        <w:rPr>
          <w:rFonts w:cstheme="minorHAnsi"/>
        </w:rPr>
      </w:pPr>
      <w:r>
        <w:rPr>
          <w:rFonts w:cstheme="minorHAnsi"/>
        </w:rPr>
        <w:t>T</w:t>
      </w:r>
      <w:r w:rsidRPr="00D5269E">
        <w:rPr>
          <w:rFonts w:cstheme="minorHAnsi"/>
        </w:rPr>
        <w:t>he design and selection of materials</w:t>
      </w:r>
      <w:r>
        <w:rPr>
          <w:rFonts w:cstheme="minorHAnsi"/>
        </w:rPr>
        <w:t xml:space="preserve"> </w:t>
      </w:r>
      <w:r w:rsidRPr="00D5269E">
        <w:rPr>
          <w:rFonts w:cstheme="minorHAnsi"/>
        </w:rPr>
        <w:t>for a building’s physical barrier between the external environment and internal conditioned space to reduce energy consumption</w:t>
      </w:r>
      <w:r>
        <w:rPr>
          <w:rFonts w:cstheme="minorHAnsi"/>
        </w:rPr>
        <w:t xml:space="preserve"> and improve building resiliency.</w:t>
      </w:r>
    </w:p>
    <w:p w14:paraId="05307E3E" w14:textId="77777777" w:rsidR="001A5C1C" w:rsidRPr="00D5269E" w:rsidRDefault="001A5C1C" w:rsidP="001A5C1C">
      <w:pPr>
        <w:pStyle w:val="ListParagraph"/>
        <w:ind w:left="1170"/>
        <w:rPr>
          <w:rFonts w:cstheme="minorHAnsi"/>
        </w:rPr>
      </w:pPr>
    </w:p>
    <w:p w14:paraId="3067D396"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Fenestration</w:t>
      </w:r>
    </w:p>
    <w:p w14:paraId="1A2CEAC6" w14:textId="77777777" w:rsidR="001A5C1C" w:rsidRDefault="001A5C1C" w:rsidP="001A5C1C">
      <w:pPr>
        <w:pStyle w:val="ListParagraph"/>
        <w:ind w:left="1170"/>
        <w:rPr>
          <w:rFonts w:cstheme="minorHAnsi"/>
        </w:rPr>
      </w:pPr>
    </w:p>
    <w:p w14:paraId="48377A22" w14:textId="77777777" w:rsidR="001A5C1C" w:rsidRDefault="001A5C1C" w:rsidP="001A5C1C">
      <w:pPr>
        <w:pStyle w:val="ListParagraph"/>
        <w:ind w:left="1170"/>
        <w:rPr>
          <w:rFonts w:cstheme="minorHAnsi"/>
        </w:rPr>
      </w:pPr>
      <w:r>
        <w:rPr>
          <w:rFonts w:cstheme="minorHAnsi"/>
        </w:rPr>
        <w:t>P</w:t>
      </w:r>
      <w:r w:rsidRPr="00E57319">
        <w:rPr>
          <w:rFonts w:cstheme="minorHAnsi"/>
        </w:rPr>
        <w:t xml:space="preserve">roper design, selection, and installation of windows and skylights to minimize heating, cooling, and lighting </w:t>
      </w:r>
      <w:r>
        <w:rPr>
          <w:rFonts w:cstheme="minorHAnsi"/>
        </w:rPr>
        <w:t>energy use</w:t>
      </w:r>
      <w:r w:rsidRPr="00E57319">
        <w:rPr>
          <w:rFonts w:cstheme="minorHAnsi"/>
        </w:rPr>
        <w:t xml:space="preserve"> while improving comfort for building occupants.</w:t>
      </w:r>
    </w:p>
    <w:p w14:paraId="135539C7" w14:textId="77777777" w:rsidR="001A5C1C" w:rsidRPr="00810CE5" w:rsidRDefault="001A5C1C" w:rsidP="001A5C1C">
      <w:pPr>
        <w:rPr>
          <w:rFonts w:cstheme="minorHAnsi"/>
        </w:rPr>
      </w:pPr>
    </w:p>
    <w:p w14:paraId="24DC8436" w14:textId="77777777" w:rsidR="00B73064" w:rsidRDefault="00B73064">
      <w:pPr>
        <w:spacing w:after="0" w:line="240" w:lineRule="auto"/>
        <w:ind w:left="0" w:right="0" w:firstLine="0"/>
        <w:rPr>
          <w:rFonts w:cstheme="minorHAnsi"/>
        </w:rPr>
      </w:pPr>
      <w:r>
        <w:rPr>
          <w:rFonts w:cstheme="minorHAnsi"/>
        </w:rPr>
        <w:br w:type="page"/>
      </w:r>
    </w:p>
    <w:p w14:paraId="47964F73" w14:textId="2636F187" w:rsidR="001A5C1C" w:rsidRDefault="001A5C1C" w:rsidP="001A5C1C">
      <w:pPr>
        <w:pStyle w:val="ListParagraph"/>
        <w:numPr>
          <w:ilvl w:val="0"/>
          <w:numId w:val="9"/>
        </w:numPr>
        <w:spacing w:after="0" w:line="240" w:lineRule="auto"/>
        <w:ind w:right="0"/>
        <w:rPr>
          <w:rFonts w:cstheme="minorHAnsi"/>
        </w:rPr>
      </w:pPr>
      <w:r w:rsidRPr="00B0191C">
        <w:rPr>
          <w:rFonts w:cstheme="minorHAnsi"/>
        </w:rPr>
        <w:lastRenderedPageBreak/>
        <w:t>Building Shading</w:t>
      </w:r>
    </w:p>
    <w:p w14:paraId="6C72C58B" w14:textId="77777777" w:rsidR="001A5C1C" w:rsidRDefault="001A5C1C" w:rsidP="001A5C1C">
      <w:pPr>
        <w:pStyle w:val="ListParagraph"/>
        <w:ind w:left="1170"/>
        <w:rPr>
          <w:rFonts w:cstheme="minorHAnsi"/>
        </w:rPr>
      </w:pPr>
    </w:p>
    <w:p w14:paraId="0A114C60" w14:textId="77777777" w:rsidR="001A5C1C" w:rsidRPr="00B0191C" w:rsidRDefault="001A5C1C" w:rsidP="001A5C1C">
      <w:pPr>
        <w:pStyle w:val="ListParagraph"/>
        <w:ind w:left="1170"/>
        <w:rPr>
          <w:rFonts w:cstheme="minorHAnsi"/>
        </w:rPr>
      </w:pPr>
      <w:r>
        <w:t>T</w:t>
      </w:r>
      <w:r w:rsidRPr="00B0191C">
        <w:t xml:space="preserve">he use of natural </w:t>
      </w:r>
      <w:r>
        <w:t xml:space="preserve">habitat </w:t>
      </w:r>
      <w:r w:rsidRPr="00B0191C">
        <w:t>or artificial devices to control the amount of sunlight entering a building, reducing its cooling requirements, and improving natural lighting quality</w:t>
      </w:r>
      <w:r>
        <w:t>.</w:t>
      </w:r>
    </w:p>
    <w:p w14:paraId="54ABC17C" w14:textId="77777777" w:rsidR="001A5C1C" w:rsidRPr="00B0191C" w:rsidRDefault="001A5C1C" w:rsidP="001A5C1C">
      <w:pPr>
        <w:rPr>
          <w:rFonts w:cstheme="minorHAnsi"/>
        </w:rPr>
      </w:pPr>
    </w:p>
    <w:p w14:paraId="5C2A9E3E"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Surface Reflectivity</w:t>
      </w:r>
    </w:p>
    <w:p w14:paraId="6A059573" w14:textId="77777777" w:rsidR="001A5C1C" w:rsidRDefault="001A5C1C" w:rsidP="001A5C1C">
      <w:pPr>
        <w:pStyle w:val="ListParagraph"/>
        <w:ind w:left="1170"/>
        <w:rPr>
          <w:rFonts w:cstheme="minorHAnsi"/>
        </w:rPr>
      </w:pPr>
    </w:p>
    <w:p w14:paraId="73435050" w14:textId="77777777" w:rsidR="001A5C1C" w:rsidRDefault="001A5C1C" w:rsidP="001A5C1C">
      <w:pPr>
        <w:pStyle w:val="ListParagraph"/>
        <w:ind w:left="1170"/>
        <w:rPr>
          <w:rFonts w:cstheme="minorHAnsi"/>
        </w:rPr>
      </w:pPr>
      <w:r>
        <w:t>T</w:t>
      </w:r>
      <w:r w:rsidRPr="00B0191C">
        <w:t>he ability of a building’s surface to reflect sunlight and heat, reducing heat flow from the roof into the occupied space</w:t>
      </w:r>
      <w:r>
        <w:t xml:space="preserve"> and</w:t>
      </w:r>
      <w:r w:rsidRPr="00B0191C">
        <w:t xml:space="preserve"> improving comfort and safety in buildings without air conditioning.</w:t>
      </w:r>
    </w:p>
    <w:p w14:paraId="786D10B5" w14:textId="77777777" w:rsidR="001A5C1C" w:rsidRPr="00810CE5" w:rsidRDefault="001A5C1C" w:rsidP="001A5C1C">
      <w:pPr>
        <w:rPr>
          <w:rFonts w:cstheme="minorHAnsi"/>
        </w:rPr>
      </w:pPr>
    </w:p>
    <w:p w14:paraId="0B26F581"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Natural Ventilation and Thermal Management</w:t>
      </w:r>
    </w:p>
    <w:p w14:paraId="70A5122E" w14:textId="77777777" w:rsidR="001A5C1C" w:rsidRDefault="001A5C1C" w:rsidP="001A5C1C">
      <w:pPr>
        <w:pStyle w:val="ListParagraph"/>
        <w:ind w:left="1170"/>
        <w:rPr>
          <w:rFonts w:cstheme="minorHAnsi"/>
        </w:rPr>
      </w:pPr>
    </w:p>
    <w:p w14:paraId="07B75105" w14:textId="77777777" w:rsidR="001A5C1C" w:rsidRPr="0016207E" w:rsidRDefault="001A5C1C" w:rsidP="001A5C1C">
      <w:pPr>
        <w:pStyle w:val="ListParagraph"/>
        <w:ind w:left="1170"/>
        <w:rPr>
          <w:rFonts w:cstheme="minorHAnsi"/>
        </w:rPr>
      </w:pPr>
      <w:r>
        <w:t>The</w:t>
      </w:r>
      <w:r w:rsidRPr="00B0191C">
        <w:t xml:space="preserve"> process of using natural forces of wind and </w:t>
      </w:r>
      <w:r>
        <w:t xml:space="preserve">thermal </w:t>
      </w:r>
      <w:r w:rsidRPr="00B0191C">
        <w:t xml:space="preserve">buoyancy to deliver fresh air into buildings to improve indoor </w:t>
      </w:r>
      <w:r>
        <w:t>environmental</w:t>
      </w:r>
      <w:r w:rsidRPr="00B0191C">
        <w:t xml:space="preserve"> quality and reduce energy consumption</w:t>
      </w:r>
      <w:r>
        <w:t>.</w:t>
      </w:r>
    </w:p>
    <w:p w14:paraId="1EABEC48" w14:textId="77777777" w:rsidR="001A5C1C" w:rsidRDefault="001A5C1C" w:rsidP="001A5C1C">
      <w:pPr>
        <w:ind w:left="540"/>
        <w:rPr>
          <w:rFonts w:cstheme="minorHAnsi"/>
          <w:b/>
          <w:bCs/>
        </w:rPr>
      </w:pPr>
    </w:p>
    <w:p w14:paraId="44945A3A" w14:textId="77777777" w:rsidR="001A5C1C" w:rsidRDefault="001A5C1C" w:rsidP="001A5C1C">
      <w:pPr>
        <w:ind w:left="540"/>
        <w:rPr>
          <w:rFonts w:cstheme="minorHAnsi"/>
          <w:b/>
          <w:bCs/>
        </w:rPr>
      </w:pPr>
      <w:r w:rsidRPr="0016207E">
        <w:rPr>
          <w:rFonts w:cstheme="minorHAnsi"/>
          <w:b/>
          <w:bCs/>
        </w:rPr>
        <w:t>Active Efficiency</w:t>
      </w:r>
      <w:r>
        <w:rPr>
          <w:rFonts w:cstheme="minorHAnsi"/>
          <w:b/>
          <w:bCs/>
        </w:rPr>
        <w:t xml:space="preserve"> Measures</w:t>
      </w:r>
    </w:p>
    <w:p w14:paraId="0A563545" w14:textId="77777777" w:rsidR="001A5C1C" w:rsidRPr="0016207E" w:rsidRDefault="001A5C1C" w:rsidP="001A5C1C">
      <w:pPr>
        <w:ind w:left="540"/>
        <w:rPr>
          <w:rFonts w:cstheme="minorHAnsi"/>
          <w:b/>
          <w:bCs/>
        </w:rPr>
      </w:pPr>
    </w:p>
    <w:p w14:paraId="28465582"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 xml:space="preserve">High </w:t>
      </w:r>
      <w:r>
        <w:rPr>
          <w:rFonts w:cstheme="minorHAnsi"/>
        </w:rPr>
        <w:t>Performance</w:t>
      </w:r>
      <w:r w:rsidRPr="0016207E">
        <w:rPr>
          <w:rFonts w:cstheme="minorHAnsi"/>
        </w:rPr>
        <w:t xml:space="preserve"> HVAC Equipment</w:t>
      </w:r>
    </w:p>
    <w:p w14:paraId="2D4B33F8" w14:textId="77777777" w:rsidR="001A5C1C" w:rsidRDefault="001A5C1C" w:rsidP="001A5C1C">
      <w:pPr>
        <w:pStyle w:val="ListParagraph"/>
        <w:ind w:left="1170"/>
        <w:rPr>
          <w:rFonts w:cstheme="minorHAnsi"/>
        </w:rPr>
      </w:pPr>
    </w:p>
    <w:p w14:paraId="39157F78" w14:textId="77777777" w:rsidR="001A5C1C" w:rsidRPr="00E446CE" w:rsidRDefault="001A5C1C" w:rsidP="001A5C1C">
      <w:pPr>
        <w:pStyle w:val="ListParagraph"/>
        <w:ind w:left="1170"/>
        <w:rPr>
          <w:rFonts w:cstheme="minorHAnsi"/>
        </w:rPr>
      </w:pPr>
      <w:r>
        <w:t>H</w:t>
      </w:r>
      <w:r w:rsidRPr="00BC3AF2">
        <w:t xml:space="preserve">eating, ventilating, and air-conditioning systems designed to provide increased user thermal comfort, improved indoor environmental quality, and result in considerable energy, emissions, and </w:t>
      </w:r>
      <w:r>
        <w:t xml:space="preserve">operational </w:t>
      </w:r>
      <w:r w:rsidRPr="00BC3AF2">
        <w:t>cost savings</w:t>
      </w:r>
      <w:r>
        <w:t>.</w:t>
      </w:r>
    </w:p>
    <w:p w14:paraId="08C7F849" w14:textId="77777777" w:rsidR="001A5C1C" w:rsidRPr="00E446CE" w:rsidRDefault="001A5C1C" w:rsidP="001A5C1C">
      <w:pPr>
        <w:pStyle w:val="ListParagraph"/>
        <w:ind w:left="1170"/>
        <w:rPr>
          <w:rFonts w:cstheme="minorHAnsi"/>
        </w:rPr>
      </w:pPr>
    </w:p>
    <w:p w14:paraId="7A8CCC40" w14:textId="77777777" w:rsidR="001A5C1C" w:rsidRDefault="001A5C1C" w:rsidP="001A5C1C">
      <w:pPr>
        <w:pStyle w:val="ListParagraph"/>
        <w:numPr>
          <w:ilvl w:val="0"/>
          <w:numId w:val="9"/>
        </w:numPr>
        <w:spacing w:after="0" w:line="240" w:lineRule="auto"/>
        <w:ind w:right="0"/>
        <w:rPr>
          <w:rFonts w:cstheme="minorHAnsi"/>
        </w:rPr>
      </w:pPr>
      <w:r>
        <w:rPr>
          <w:rFonts w:cstheme="minorHAnsi"/>
        </w:rPr>
        <w:t>Beneficial Electrification</w:t>
      </w:r>
    </w:p>
    <w:p w14:paraId="0684BB40" w14:textId="77777777" w:rsidR="001A5C1C" w:rsidRDefault="001A5C1C" w:rsidP="001A5C1C">
      <w:pPr>
        <w:pStyle w:val="ListParagraph"/>
        <w:ind w:left="1170"/>
        <w:rPr>
          <w:rFonts w:cstheme="minorHAnsi"/>
        </w:rPr>
      </w:pPr>
    </w:p>
    <w:p w14:paraId="2D102D70" w14:textId="77777777" w:rsidR="001A5C1C" w:rsidRDefault="001A5C1C" w:rsidP="001A5C1C">
      <w:pPr>
        <w:pStyle w:val="ListParagraph"/>
        <w:ind w:left="1170"/>
        <w:rPr>
          <w:rFonts w:cstheme="minorHAnsi"/>
        </w:rPr>
      </w:pPr>
      <w:r>
        <w:rPr>
          <w:rFonts w:cstheme="minorHAnsi"/>
        </w:rPr>
        <w:t>R</w:t>
      </w:r>
      <w:r w:rsidRPr="00C41F10">
        <w:rPr>
          <w:rFonts w:cstheme="minorHAnsi"/>
        </w:rPr>
        <w:t xml:space="preserve">eplacing fossil-fuel systems </w:t>
      </w:r>
      <w:r>
        <w:rPr>
          <w:rFonts w:cstheme="minorHAnsi"/>
        </w:rPr>
        <w:t xml:space="preserve">for space heating, water heating and cooking </w:t>
      </w:r>
      <w:r w:rsidRPr="00C41F10">
        <w:rPr>
          <w:rFonts w:cstheme="minorHAnsi"/>
        </w:rPr>
        <w:t xml:space="preserve">with </w:t>
      </w:r>
      <w:r>
        <w:rPr>
          <w:rFonts w:cstheme="minorHAnsi"/>
        </w:rPr>
        <w:t xml:space="preserve">highly efficient, cost-effective </w:t>
      </w:r>
      <w:r w:rsidRPr="00C41F10">
        <w:rPr>
          <w:rFonts w:cstheme="minorHAnsi"/>
        </w:rPr>
        <w:t xml:space="preserve">electric </w:t>
      </w:r>
      <w:r>
        <w:rPr>
          <w:rFonts w:cstheme="minorHAnsi"/>
        </w:rPr>
        <w:t>alternatives</w:t>
      </w:r>
      <w:r w:rsidRPr="00C41F10">
        <w:rPr>
          <w:rFonts w:cstheme="minorHAnsi"/>
        </w:rPr>
        <w:t xml:space="preserve"> </w:t>
      </w:r>
      <w:r>
        <w:rPr>
          <w:rFonts w:cstheme="minorHAnsi"/>
        </w:rPr>
        <w:t>that</w:t>
      </w:r>
      <w:r w:rsidRPr="00C41F10">
        <w:rPr>
          <w:rFonts w:cstheme="minorHAnsi"/>
        </w:rPr>
        <w:t xml:space="preserve"> </w:t>
      </w:r>
      <w:r>
        <w:rPr>
          <w:rFonts w:cstheme="minorHAnsi"/>
        </w:rPr>
        <w:t xml:space="preserve">reduce </w:t>
      </w:r>
      <w:r w:rsidRPr="00C41F10">
        <w:rPr>
          <w:rFonts w:cstheme="minorHAnsi"/>
        </w:rPr>
        <w:t xml:space="preserve">greenhouse gas emissions and </w:t>
      </w:r>
      <w:r>
        <w:rPr>
          <w:rFonts w:cstheme="minorHAnsi"/>
        </w:rPr>
        <w:t>minimize cost and reliability impacts on the electric grid.</w:t>
      </w:r>
    </w:p>
    <w:p w14:paraId="60ABFB73" w14:textId="77777777" w:rsidR="001A5C1C" w:rsidRPr="00810CE5" w:rsidRDefault="001A5C1C" w:rsidP="001A5C1C">
      <w:pPr>
        <w:rPr>
          <w:rFonts w:cstheme="minorHAnsi"/>
        </w:rPr>
      </w:pPr>
    </w:p>
    <w:p w14:paraId="40DA5BD8" w14:textId="77777777" w:rsidR="001A5C1C" w:rsidRDefault="001A5C1C" w:rsidP="001A5C1C">
      <w:pPr>
        <w:pStyle w:val="ListParagraph"/>
        <w:numPr>
          <w:ilvl w:val="0"/>
          <w:numId w:val="9"/>
        </w:numPr>
        <w:spacing w:after="0" w:line="240" w:lineRule="auto"/>
        <w:ind w:right="0"/>
        <w:rPr>
          <w:rFonts w:cstheme="minorHAnsi"/>
        </w:rPr>
      </w:pPr>
      <w:r>
        <w:rPr>
          <w:rFonts w:cstheme="minorHAnsi"/>
        </w:rPr>
        <w:t>Building Management and Control Systems</w:t>
      </w:r>
    </w:p>
    <w:p w14:paraId="14024AFB" w14:textId="77777777" w:rsidR="001A5C1C" w:rsidRDefault="001A5C1C" w:rsidP="001A5C1C">
      <w:pPr>
        <w:pStyle w:val="ListParagraph"/>
        <w:ind w:left="1170"/>
        <w:rPr>
          <w:rFonts w:cstheme="minorHAnsi"/>
        </w:rPr>
      </w:pPr>
    </w:p>
    <w:p w14:paraId="37034D09" w14:textId="77777777" w:rsidR="001A5C1C" w:rsidRDefault="001A5C1C" w:rsidP="001A5C1C">
      <w:pPr>
        <w:pStyle w:val="ListParagraph"/>
        <w:ind w:left="1170"/>
        <w:rPr>
          <w:rFonts w:cstheme="minorHAnsi"/>
        </w:rPr>
      </w:pPr>
      <w:r>
        <w:t>C</w:t>
      </w:r>
      <w:r w:rsidRPr="00BC3AF2">
        <w:t xml:space="preserve">omputer-based systems installed to control and monitor a building’s electrical </w:t>
      </w:r>
      <w:r>
        <w:t xml:space="preserve">and mechanical systems and </w:t>
      </w:r>
      <w:r w:rsidRPr="00BC3AF2">
        <w:t>equipment</w:t>
      </w:r>
      <w:r>
        <w:t>,</w:t>
      </w:r>
      <w:r w:rsidRPr="00BC3AF2">
        <w:t xml:space="preserve"> such as </w:t>
      </w:r>
      <w:r>
        <w:t>HVAC</w:t>
      </w:r>
      <w:r w:rsidRPr="00BC3AF2">
        <w:t>, lighting, energy</w:t>
      </w:r>
      <w:r>
        <w:t xml:space="preserve"> management</w:t>
      </w:r>
      <w:r w:rsidRPr="00BC3AF2">
        <w:t xml:space="preserve">, fire </w:t>
      </w:r>
      <w:r>
        <w:t>safety</w:t>
      </w:r>
      <w:r w:rsidRPr="00BC3AF2">
        <w:t>, and security systems</w:t>
      </w:r>
      <w:r>
        <w:t>.</w:t>
      </w:r>
    </w:p>
    <w:p w14:paraId="14AF218C" w14:textId="77777777" w:rsidR="001A5C1C" w:rsidRPr="00810CE5" w:rsidRDefault="001A5C1C" w:rsidP="001A5C1C">
      <w:pPr>
        <w:rPr>
          <w:rFonts w:cstheme="minorHAnsi"/>
        </w:rPr>
      </w:pPr>
    </w:p>
    <w:p w14:paraId="1DA6B215" w14:textId="77777777" w:rsidR="001A5C1C" w:rsidRDefault="001A5C1C" w:rsidP="001A5C1C">
      <w:pPr>
        <w:pStyle w:val="ListParagraph"/>
        <w:numPr>
          <w:ilvl w:val="0"/>
          <w:numId w:val="9"/>
        </w:numPr>
        <w:spacing w:after="0" w:line="240" w:lineRule="auto"/>
        <w:ind w:right="0"/>
        <w:rPr>
          <w:rFonts w:cstheme="minorHAnsi"/>
        </w:rPr>
      </w:pPr>
      <w:r>
        <w:rPr>
          <w:rFonts w:cstheme="minorHAnsi"/>
        </w:rPr>
        <w:t xml:space="preserve">Lighting and </w:t>
      </w:r>
      <w:r w:rsidRPr="0016207E">
        <w:rPr>
          <w:rFonts w:cstheme="minorHAnsi"/>
        </w:rPr>
        <w:t>Plug-load Management</w:t>
      </w:r>
    </w:p>
    <w:p w14:paraId="1F0A8847" w14:textId="77777777" w:rsidR="001A5C1C" w:rsidRDefault="001A5C1C" w:rsidP="001A5C1C">
      <w:pPr>
        <w:pStyle w:val="ListParagraph"/>
        <w:ind w:left="1170"/>
        <w:rPr>
          <w:rFonts w:cstheme="minorHAnsi"/>
        </w:rPr>
      </w:pPr>
    </w:p>
    <w:p w14:paraId="721ACB8E" w14:textId="77777777" w:rsidR="001A5C1C" w:rsidRDefault="001A5C1C" w:rsidP="001A5C1C">
      <w:pPr>
        <w:pStyle w:val="ListParagraph"/>
        <w:ind w:left="1170"/>
        <w:rPr>
          <w:rFonts w:cstheme="minorHAnsi"/>
        </w:rPr>
      </w:pPr>
      <w:r>
        <w:t>Strategies and devices for automatic switching and dimming of general indoor and outdoor lighting and the control of plug loads such as computer monitors, task lighting, coffeemakers, and vending machines to reduce energy consumption.</w:t>
      </w:r>
    </w:p>
    <w:p w14:paraId="08FFF688" w14:textId="77777777" w:rsidR="001A5C1C" w:rsidRPr="00810CE5" w:rsidRDefault="001A5C1C" w:rsidP="001A5C1C">
      <w:pPr>
        <w:rPr>
          <w:rFonts w:cstheme="minorHAnsi"/>
        </w:rPr>
      </w:pPr>
    </w:p>
    <w:p w14:paraId="5EA1811E"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Water Conservation</w:t>
      </w:r>
    </w:p>
    <w:p w14:paraId="74E34133" w14:textId="77777777" w:rsidR="001A5C1C" w:rsidRDefault="001A5C1C" w:rsidP="001A5C1C">
      <w:pPr>
        <w:pStyle w:val="ListParagraph"/>
        <w:ind w:left="1170"/>
        <w:rPr>
          <w:rFonts w:cstheme="minorHAnsi"/>
        </w:rPr>
      </w:pPr>
    </w:p>
    <w:p w14:paraId="4D49318B" w14:textId="77777777" w:rsidR="001A5C1C" w:rsidRPr="00C41F10" w:rsidRDefault="001A5C1C" w:rsidP="001A5C1C">
      <w:pPr>
        <w:pStyle w:val="ListParagraph"/>
        <w:ind w:left="1170"/>
        <w:rPr>
          <w:rFonts w:cstheme="minorHAnsi"/>
        </w:rPr>
      </w:pPr>
      <w:r>
        <w:t>Reduction in</w:t>
      </w:r>
      <w:r w:rsidRPr="00E446CE">
        <w:t xml:space="preserve"> water resources through </w:t>
      </w:r>
      <w:r>
        <w:t xml:space="preserve">the installation of </w:t>
      </w:r>
      <w:r w:rsidRPr="00E446CE">
        <w:t xml:space="preserve">high efficiency fixtures, elimination of leaks, water conserving cooling towers, </w:t>
      </w:r>
      <w:r>
        <w:t xml:space="preserve">smart irrigation systems, </w:t>
      </w:r>
      <w:r w:rsidRPr="00E446CE">
        <w:t>and other actions throughout the life of a building</w:t>
      </w:r>
      <w:r>
        <w:t>.</w:t>
      </w:r>
    </w:p>
    <w:p w14:paraId="0BFE909E" w14:textId="77777777" w:rsidR="001A5C1C" w:rsidRDefault="001A5C1C" w:rsidP="001A5C1C">
      <w:pPr>
        <w:rPr>
          <w:rFonts w:cstheme="minorHAnsi"/>
          <w:b/>
          <w:bCs/>
        </w:rPr>
      </w:pPr>
    </w:p>
    <w:p w14:paraId="3FFEBF30" w14:textId="77777777" w:rsidR="001A5C1C" w:rsidRDefault="001A5C1C" w:rsidP="001A5C1C">
      <w:pPr>
        <w:ind w:left="450"/>
        <w:rPr>
          <w:rFonts w:cstheme="minorHAnsi"/>
          <w:b/>
          <w:bCs/>
        </w:rPr>
      </w:pPr>
      <w:r>
        <w:rPr>
          <w:rFonts w:cstheme="minorHAnsi"/>
          <w:b/>
          <w:bCs/>
        </w:rPr>
        <w:lastRenderedPageBreak/>
        <w:t>Building Operations and Management Practices</w:t>
      </w:r>
    </w:p>
    <w:p w14:paraId="2AF95A59" w14:textId="77777777" w:rsidR="001A5C1C" w:rsidRPr="0016207E" w:rsidRDefault="001A5C1C" w:rsidP="001A5C1C">
      <w:pPr>
        <w:rPr>
          <w:rFonts w:cstheme="minorHAnsi"/>
          <w:b/>
          <w:bCs/>
        </w:rPr>
      </w:pPr>
    </w:p>
    <w:p w14:paraId="3B0BCDDE"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Indoor Air Quality Management</w:t>
      </w:r>
    </w:p>
    <w:p w14:paraId="4EE586B4" w14:textId="77777777" w:rsidR="001A5C1C" w:rsidRDefault="001A5C1C" w:rsidP="001A5C1C">
      <w:pPr>
        <w:pStyle w:val="ListParagraph"/>
        <w:ind w:left="1170"/>
        <w:rPr>
          <w:rFonts w:cstheme="minorHAnsi"/>
        </w:rPr>
      </w:pPr>
    </w:p>
    <w:p w14:paraId="566D850D" w14:textId="77777777" w:rsidR="001A5C1C" w:rsidRDefault="001A5C1C" w:rsidP="001A5C1C">
      <w:pPr>
        <w:pStyle w:val="ListParagraph"/>
        <w:ind w:left="1170"/>
        <w:rPr>
          <w:rFonts w:cstheme="minorHAnsi"/>
        </w:rPr>
      </w:pPr>
      <w:r>
        <w:t>Designing and operating building systems to provide a comfortable, safe, and healthy environment that reduces</w:t>
      </w:r>
      <w:r w:rsidRPr="00C41F10">
        <w:t xml:space="preserve"> common pollutants </w:t>
      </w:r>
      <w:r>
        <w:t xml:space="preserve">both </w:t>
      </w:r>
      <w:r w:rsidRPr="00C41F10">
        <w:t>within and around buildings</w:t>
      </w:r>
      <w:r>
        <w:t>.</w:t>
      </w:r>
    </w:p>
    <w:p w14:paraId="42961F83" w14:textId="77777777" w:rsidR="001A5C1C" w:rsidRPr="0016207E" w:rsidRDefault="001A5C1C" w:rsidP="001A5C1C">
      <w:pPr>
        <w:pStyle w:val="ListParagraph"/>
        <w:ind w:left="1170"/>
        <w:rPr>
          <w:rFonts w:cstheme="minorHAnsi"/>
        </w:rPr>
      </w:pPr>
    </w:p>
    <w:p w14:paraId="1443ABA0"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Refrigerant Management</w:t>
      </w:r>
    </w:p>
    <w:p w14:paraId="031BD419" w14:textId="77777777" w:rsidR="001A5C1C" w:rsidRDefault="001A5C1C" w:rsidP="001A5C1C">
      <w:pPr>
        <w:pStyle w:val="ListParagraph"/>
        <w:ind w:left="1170"/>
        <w:rPr>
          <w:rFonts w:cstheme="minorHAnsi"/>
        </w:rPr>
      </w:pPr>
    </w:p>
    <w:p w14:paraId="5DA474AF" w14:textId="77777777" w:rsidR="001A5C1C" w:rsidRDefault="001A5C1C" w:rsidP="001A5C1C">
      <w:pPr>
        <w:pStyle w:val="ListParagraph"/>
        <w:ind w:left="1170"/>
        <w:rPr>
          <w:rFonts w:cstheme="minorHAnsi"/>
        </w:rPr>
      </w:pPr>
      <w:r>
        <w:t>The proper handling of high global warming potential refrigerants in HVAC/R equipment to control leakages and ensure their recovery, recycling, and destruction at the end of life.</w:t>
      </w:r>
    </w:p>
    <w:p w14:paraId="091D40DC" w14:textId="77777777" w:rsidR="001A5C1C" w:rsidRPr="00810CE5" w:rsidRDefault="001A5C1C" w:rsidP="001A5C1C">
      <w:pPr>
        <w:rPr>
          <w:rFonts w:cstheme="minorHAnsi"/>
        </w:rPr>
      </w:pPr>
    </w:p>
    <w:p w14:paraId="424DF5E3" w14:textId="77777777" w:rsidR="001A5C1C" w:rsidRPr="00D917EB" w:rsidRDefault="001A5C1C" w:rsidP="001A5C1C">
      <w:pPr>
        <w:pStyle w:val="ListParagraph"/>
        <w:numPr>
          <w:ilvl w:val="0"/>
          <w:numId w:val="9"/>
        </w:numPr>
        <w:spacing w:after="0" w:line="240" w:lineRule="auto"/>
        <w:ind w:right="0"/>
        <w:rPr>
          <w:rFonts w:cstheme="minorHAnsi"/>
        </w:rPr>
      </w:pPr>
      <w:r>
        <w:rPr>
          <w:rFonts w:cstheme="minorHAnsi"/>
        </w:rPr>
        <w:t>Integrated Facility Management</w:t>
      </w:r>
    </w:p>
    <w:p w14:paraId="43DEE79F" w14:textId="77777777" w:rsidR="001A5C1C" w:rsidRDefault="001A5C1C" w:rsidP="001A5C1C">
      <w:pPr>
        <w:pStyle w:val="ListParagraph"/>
        <w:ind w:left="1170"/>
      </w:pPr>
    </w:p>
    <w:p w14:paraId="596896A7" w14:textId="77777777" w:rsidR="001A5C1C" w:rsidRDefault="001A5C1C" w:rsidP="001A5C1C">
      <w:pPr>
        <w:pStyle w:val="ListParagraph"/>
        <w:ind w:left="1170"/>
        <w:rPr>
          <w:rFonts w:cstheme="minorHAnsi"/>
        </w:rPr>
      </w:pPr>
      <w:r>
        <w:rPr>
          <w:rFonts w:cstheme="minorHAnsi"/>
        </w:rPr>
        <w:t>T</w:t>
      </w:r>
      <w:r w:rsidRPr="00F4630F">
        <w:rPr>
          <w:rFonts w:cstheme="minorHAnsi"/>
        </w:rPr>
        <w:t>he use of advanced technology</w:t>
      </w:r>
      <w:r>
        <w:rPr>
          <w:rFonts w:cstheme="minorHAnsi"/>
        </w:rPr>
        <w:t xml:space="preserve">, </w:t>
      </w:r>
      <w:r w:rsidRPr="00F4630F">
        <w:rPr>
          <w:rFonts w:cstheme="minorHAnsi"/>
        </w:rPr>
        <w:t xml:space="preserve">systems, </w:t>
      </w:r>
      <w:r>
        <w:rPr>
          <w:rFonts w:cstheme="minorHAnsi"/>
        </w:rPr>
        <w:t xml:space="preserve">and processes </w:t>
      </w:r>
      <w:r w:rsidRPr="00F4630F">
        <w:rPr>
          <w:rFonts w:cstheme="minorHAnsi"/>
        </w:rPr>
        <w:t xml:space="preserve">to optimize the </w:t>
      </w:r>
      <w:r>
        <w:rPr>
          <w:rFonts w:cstheme="minorHAnsi"/>
        </w:rPr>
        <w:t xml:space="preserve">operations and </w:t>
      </w:r>
      <w:r w:rsidRPr="00F4630F">
        <w:rPr>
          <w:rFonts w:cstheme="minorHAnsi"/>
        </w:rPr>
        <w:t xml:space="preserve">maintenance </w:t>
      </w:r>
      <w:r>
        <w:rPr>
          <w:rFonts w:cstheme="minorHAnsi"/>
        </w:rPr>
        <w:t xml:space="preserve">of </w:t>
      </w:r>
      <w:r w:rsidRPr="00F4630F">
        <w:rPr>
          <w:rFonts w:cstheme="minorHAnsi"/>
        </w:rPr>
        <w:t>building</w:t>
      </w:r>
      <w:r>
        <w:rPr>
          <w:rFonts w:cstheme="minorHAnsi"/>
        </w:rPr>
        <w:t xml:space="preserve">s while </w:t>
      </w:r>
      <w:r w:rsidRPr="00F4630F">
        <w:rPr>
          <w:rFonts w:cstheme="minorHAnsi"/>
        </w:rPr>
        <w:t>enhancing sustainability, productivity, and tenant experiences</w:t>
      </w:r>
      <w:r>
        <w:rPr>
          <w:rFonts w:cstheme="minorHAnsi"/>
        </w:rPr>
        <w:t>.</w:t>
      </w:r>
    </w:p>
    <w:p w14:paraId="1C6860FB" w14:textId="77777777" w:rsidR="001A5C1C" w:rsidRPr="00F4630F" w:rsidRDefault="001A5C1C" w:rsidP="001A5C1C">
      <w:pPr>
        <w:rPr>
          <w:rFonts w:cstheme="minorHAnsi"/>
        </w:rPr>
      </w:pPr>
    </w:p>
    <w:p w14:paraId="6B5D4EA1" w14:textId="77777777" w:rsidR="001A5C1C" w:rsidRDefault="001A5C1C" w:rsidP="001A5C1C">
      <w:pPr>
        <w:pStyle w:val="ListParagraph"/>
        <w:numPr>
          <w:ilvl w:val="0"/>
          <w:numId w:val="9"/>
        </w:numPr>
        <w:spacing w:after="0" w:line="240" w:lineRule="auto"/>
        <w:ind w:right="0"/>
        <w:rPr>
          <w:rFonts w:cstheme="minorHAnsi"/>
        </w:rPr>
      </w:pPr>
      <w:r w:rsidRPr="0016207E">
        <w:rPr>
          <w:rFonts w:cstheme="minorHAnsi"/>
        </w:rPr>
        <w:t>Building Retro-commissioning</w:t>
      </w:r>
    </w:p>
    <w:p w14:paraId="759E6155" w14:textId="77777777" w:rsidR="001A5C1C" w:rsidRDefault="001A5C1C" w:rsidP="001A5C1C">
      <w:pPr>
        <w:pStyle w:val="ListParagraph"/>
        <w:ind w:left="1170"/>
        <w:rPr>
          <w:rFonts w:cstheme="minorHAnsi"/>
        </w:rPr>
      </w:pPr>
    </w:p>
    <w:p w14:paraId="5808FAD4" w14:textId="77777777" w:rsidR="001A5C1C" w:rsidRPr="00F4630F" w:rsidRDefault="001A5C1C" w:rsidP="001A5C1C">
      <w:pPr>
        <w:pStyle w:val="ListParagraph"/>
        <w:ind w:left="1170"/>
        <w:rPr>
          <w:rFonts w:cstheme="minorHAnsi"/>
        </w:rPr>
      </w:pPr>
      <w:r>
        <w:t>A</w:t>
      </w:r>
      <w:r w:rsidRPr="00024523">
        <w:t xml:space="preserve"> systematic process applied to existing buildings that have never been </w:t>
      </w:r>
      <w:r>
        <w:t xml:space="preserve">properly </w:t>
      </w:r>
      <w:r w:rsidRPr="00024523">
        <w:t>commissioned to ensure that their systems can be operated and maintained according to the owner’s needs</w:t>
      </w:r>
      <w:r>
        <w:t xml:space="preserve"> and functional requirements.</w:t>
      </w:r>
    </w:p>
    <w:p w14:paraId="6B8B8815" w14:textId="77777777" w:rsidR="001A5C1C" w:rsidRPr="00810CE5" w:rsidRDefault="001A5C1C" w:rsidP="001A5C1C">
      <w:pPr>
        <w:rPr>
          <w:rFonts w:cstheme="minorHAnsi"/>
        </w:rPr>
      </w:pPr>
    </w:p>
    <w:p w14:paraId="62F06B23" w14:textId="77777777" w:rsidR="001A5C1C" w:rsidRDefault="001A5C1C" w:rsidP="001A5C1C">
      <w:pPr>
        <w:pStyle w:val="ListParagraph"/>
        <w:numPr>
          <w:ilvl w:val="0"/>
          <w:numId w:val="9"/>
        </w:numPr>
        <w:spacing w:after="0" w:line="240" w:lineRule="auto"/>
        <w:ind w:right="0"/>
        <w:rPr>
          <w:rFonts w:cstheme="minorHAnsi"/>
        </w:rPr>
      </w:pPr>
      <w:r>
        <w:rPr>
          <w:rFonts w:cstheme="minorHAnsi"/>
        </w:rPr>
        <w:t>Building Education and Training</w:t>
      </w:r>
    </w:p>
    <w:p w14:paraId="3C4B11EE" w14:textId="77777777" w:rsidR="001A5C1C" w:rsidRDefault="001A5C1C" w:rsidP="001A5C1C">
      <w:pPr>
        <w:pStyle w:val="ListParagraph"/>
        <w:ind w:left="1170"/>
        <w:rPr>
          <w:rFonts w:cstheme="minorHAnsi"/>
        </w:rPr>
      </w:pPr>
    </w:p>
    <w:p w14:paraId="26FBA6BD" w14:textId="77777777" w:rsidR="001A5C1C" w:rsidRPr="0016207E" w:rsidRDefault="001A5C1C" w:rsidP="001A5C1C">
      <w:pPr>
        <w:pStyle w:val="ListParagraph"/>
        <w:ind w:left="1170"/>
        <w:rPr>
          <w:rFonts w:cstheme="minorHAnsi"/>
        </w:rPr>
      </w:pPr>
      <w:r>
        <w:t>Providing people who occupy, maintain, and operate buildings with the information, tools and strategies needed to optimize the performance of the building’s systems and protect the health and comfort of the building’s occupants.</w:t>
      </w:r>
    </w:p>
    <w:p w14:paraId="1F385AE2" w14:textId="77777777" w:rsidR="001A5C1C" w:rsidRDefault="001A5C1C" w:rsidP="001A5C1C">
      <w:pPr>
        <w:rPr>
          <w:rFonts w:cstheme="minorHAnsi"/>
          <w:b/>
          <w:bCs/>
        </w:rPr>
      </w:pPr>
    </w:p>
    <w:p w14:paraId="500348BF" w14:textId="77777777" w:rsidR="001A5C1C" w:rsidRDefault="001A5C1C" w:rsidP="001A5C1C">
      <w:pPr>
        <w:ind w:left="450"/>
        <w:rPr>
          <w:rFonts w:cstheme="minorHAnsi"/>
          <w:b/>
          <w:bCs/>
        </w:rPr>
      </w:pPr>
      <w:r w:rsidRPr="0016207E">
        <w:rPr>
          <w:rFonts w:cstheme="minorHAnsi"/>
          <w:b/>
          <w:bCs/>
        </w:rPr>
        <w:t>Distributed Energy Resource</w:t>
      </w:r>
      <w:r>
        <w:rPr>
          <w:rFonts w:cstheme="minorHAnsi"/>
          <w:b/>
          <w:bCs/>
        </w:rPr>
        <w:t xml:space="preserve"> Measures</w:t>
      </w:r>
    </w:p>
    <w:p w14:paraId="290AAD84" w14:textId="77777777" w:rsidR="001A5C1C" w:rsidRPr="0016207E" w:rsidRDefault="001A5C1C" w:rsidP="001A5C1C">
      <w:pPr>
        <w:ind w:left="450"/>
        <w:rPr>
          <w:rFonts w:cstheme="minorHAnsi"/>
          <w:b/>
          <w:bCs/>
        </w:rPr>
      </w:pPr>
      <w:r w:rsidRPr="0016207E">
        <w:rPr>
          <w:rFonts w:cstheme="minorHAnsi"/>
          <w:b/>
          <w:bCs/>
        </w:rPr>
        <w:tab/>
      </w:r>
    </w:p>
    <w:p w14:paraId="19AF6A89" w14:textId="77777777" w:rsidR="001A5C1C" w:rsidRDefault="001A5C1C" w:rsidP="001A5C1C">
      <w:pPr>
        <w:pStyle w:val="ListParagraph"/>
        <w:numPr>
          <w:ilvl w:val="0"/>
          <w:numId w:val="9"/>
        </w:numPr>
        <w:spacing w:after="0" w:line="240" w:lineRule="auto"/>
        <w:ind w:right="0"/>
        <w:rPr>
          <w:rFonts w:cstheme="minorHAnsi"/>
        </w:rPr>
      </w:pPr>
      <w:r w:rsidRPr="00CE6FB7">
        <w:rPr>
          <w:rFonts w:cstheme="minorHAnsi"/>
        </w:rPr>
        <w:t>On-site Renewable Energy</w:t>
      </w:r>
    </w:p>
    <w:p w14:paraId="7996CB7A" w14:textId="77777777" w:rsidR="001A5C1C" w:rsidRDefault="001A5C1C" w:rsidP="001A5C1C">
      <w:pPr>
        <w:pStyle w:val="ListParagraph"/>
        <w:ind w:left="1170"/>
        <w:rPr>
          <w:rFonts w:cstheme="minorHAnsi"/>
        </w:rPr>
      </w:pPr>
    </w:p>
    <w:p w14:paraId="290912FD" w14:textId="77777777" w:rsidR="001A5C1C" w:rsidRPr="00CE6FB7" w:rsidRDefault="001A5C1C" w:rsidP="001A5C1C">
      <w:pPr>
        <w:pStyle w:val="ListParagraph"/>
        <w:ind w:left="1170"/>
        <w:rPr>
          <w:rFonts w:cstheme="minorHAnsi"/>
        </w:rPr>
      </w:pPr>
      <w:r>
        <w:rPr>
          <w:rFonts w:cstheme="minorHAnsi"/>
          <w:color w:val="111111"/>
        </w:rPr>
        <w:t>G</w:t>
      </w:r>
      <w:r w:rsidRPr="00CE6FB7">
        <w:rPr>
          <w:rFonts w:cstheme="minorHAnsi"/>
          <w:color w:val="111111"/>
        </w:rPr>
        <w:t xml:space="preserve">enerating renewable energy on-site </w:t>
      </w:r>
      <w:r>
        <w:rPr>
          <w:rFonts w:cstheme="minorHAnsi"/>
          <w:color w:val="111111"/>
        </w:rPr>
        <w:t xml:space="preserve">(solar, wind, hydro, biofuels) </w:t>
      </w:r>
      <w:r w:rsidRPr="00CE6FB7">
        <w:rPr>
          <w:rFonts w:cstheme="minorHAnsi"/>
          <w:color w:val="111111"/>
        </w:rPr>
        <w:t>where the power is used.</w:t>
      </w:r>
    </w:p>
    <w:p w14:paraId="5C2A3D90" w14:textId="77777777" w:rsidR="001A5C1C" w:rsidRPr="00810CE5" w:rsidRDefault="001A5C1C" w:rsidP="001A5C1C">
      <w:pPr>
        <w:ind w:left="810"/>
        <w:rPr>
          <w:rFonts w:cstheme="minorHAnsi"/>
        </w:rPr>
      </w:pPr>
    </w:p>
    <w:p w14:paraId="5B88AC5B" w14:textId="77777777" w:rsidR="001A5C1C" w:rsidRDefault="001A5C1C" w:rsidP="001A5C1C">
      <w:pPr>
        <w:pStyle w:val="ListParagraph"/>
        <w:numPr>
          <w:ilvl w:val="0"/>
          <w:numId w:val="9"/>
        </w:numPr>
        <w:spacing w:after="0" w:line="240" w:lineRule="auto"/>
        <w:ind w:right="0"/>
        <w:rPr>
          <w:rFonts w:cstheme="minorHAnsi"/>
        </w:rPr>
      </w:pPr>
      <w:r>
        <w:rPr>
          <w:rFonts w:cstheme="minorHAnsi"/>
        </w:rPr>
        <w:t xml:space="preserve">Energy </w:t>
      </w:r>
      <w:r w:rsidRPr="0016207E">
        <w:rPr>
          <w:rFonts w:cstheme="minorHAnsi"/>
        </w:rPr>
        <w:t>Storage</w:t>
      </w:r>
    </w:p>
    <w:p w14:paraId="2549003E" w14:textId="77777777" w:rsidR="001A5C1C" w:rsidRDefault="001A5C1C" w:rsidP="001A5C1C">
      <w:pPr>
        <w:pStyle w:val="ListParagraph"/>
        <w:ind w:left="1170"/>
        <w:rPr>
          <w:rFonts w:cstheme="minorHAnsi"/>
        </w:rPr>
      </w:pPr>
    </w:p>
    <w:p w14:paraId="6E3B5A73" w14:textId="243ADC9A" w:rsidR="002C7B1C" w:rsidRPr="00B73064" w:rsidRDefault="001A5C1C" w:rsidP="00B73064">
      <w:pPr>
        <w:pStyle w:val="ListParagraph"/>
        <w:ind w:left="1170"/>
      </w:pPr>
      <w:r>
        <w:t>U</w:t>
      </w:r>
      <w:r w:rsidRPr="00CE6FB7">
        <w:t xml:space="preserve">se of technologies </w:t>
      </w:r>
      <w:r>
        <w:t>(</w:t>
      </w:r>
      <w:r w:rsidRPr="00CE6FB7">
        <w:t>thermal energy storage</w:t>
      </w:r>
      <w:r>
        <w:t xml:space="preserve">, battery </w:t>
      </w:r>
      <w:r w:rsidRPr="00CE6FB7">
        <w:t>electric storage</w:t>
      </w:r>
      <w:r>
        <w:t>)</w:t>
      </w:r>
      <w:r w:rsidRPr="00CE6FB7">
        <w:t xml:space="preserve"> to store energy for later use </w:t>
      </w:r>
      <w:r>
        <w:t xml:space="preserve">powering electrical </w:t>
      </w:r>
      <w:r w:rsidRPr="00CE6FB7">
        <w:t>system</w:t>
      </w:r>
      <w:r>
        <w:t xml:space="preserve">s and devices or providing building </w:t>
      </w:r>
      <w:r w:rsidRPr="00CE6FB7">
        <w:t>heating</w:t>
      </w:r>
      <w:r>
        <w:t xml:space="preserve"> and </w:t>
      </w:r>
      <w:r w:rsidRPr="00CE6FB7">
        <w:t>cooling</w:t>
      </w:r>
      <w:r>
        <w:t>.</w:t>
      </w:r>
    </w:p>
    <w:p w14:paraId="647050BE" w14:textId="77777777" w:rsidR="001A5C1C" w:rsidRPr="007C1FA8" w:rsidRDefault="001A5C1C" w:rsidP="001A5C1C">
      <w:pPr>
        <w:pStyle w:val="ListParagraph"/>
        <w:rPr>
          <w:rFonts w:cstheme="minorHAnsi"/>
        </w:rPr>
      </w:pPr>
    </w:p>
    <w:p w14:paraId="43D67C0A" w14:textId="77777777" w:rsidR="001A5C1C" w:rsidRDefault="001A5C1C" w:rsidP="001A5C1C">
      <w:pPr>
        <w:pStyle w:val="ListParagraph"/>
        <w:numPr>
          <w:ilvl w:val="0"/>
          <w:numId w:val="9"/>
        </w:numPr>
        <w:spacing w:after="0" w:line="240" w:lineRule="auto"/>
        <w:ind w:right="0"/>
        <w:rPr>
          <w:rFonts w:cstheme="minorHAnsi"/>
        </w:rPr>
      </w:pPr>
      <w:r>
        <w:rPr>
          <w:rFonts w:cstheme="minorHAnsi"/>
        </w:rPr>
        <w:t xml:space="preserve">Managed </w:t>
      </w:r>
      <w:r w:rsidRPr="007C1FA8">
        <w:rPr>
          <w:rFonts w:cstheme="minorHAnsi"/>
        </w:rPr>
        <w:t>Electric Vehicle Charging</w:t>
      </w:r>
    </w:p>
    <w:p w14:paraId="16615E82" w14:textId="77777777" w:rsidR="001A5C1C" w:rsidRDefault="001A5C1C" w:rsidP="001A5C1C">
      <w:pPr>
        <w:pStyle w:val="ListParagraph"/>
        <w:ind w:left="1170"/>
        <w:rPr>
          <w:rFonts w:cstheme="minorHAnsi"/>
        </w:rPr>
      </w:pPr>
    </w:p>
    <w:p w14:paraId="307350A8" w14:textId="77777777" w:rsidR="001A5C1C" w:rsidRPr="0035480C" w:rsidRDefault="001A5C1C" w:rsidP="001A5C1C">
      <w:pPr>
        <w:pStyle w:val="ListParagraph"/>
        <w:ind w:left="1170"/>
        <w:rPr>
          <w:rFonts w:cstheme="minorHAnsi"/>
        </w:rPr>
      </w:pPr>
      <w:r>
        <w:t>An adaptive method of e</w:t>
      </w:r>
      <w:r w:rsidRPr="007C1FA8">
        <w:t xml:space="preserve">lectric </w:t>
      </w:r>
      <w:r>
        <w:t>v</w:t>
      </w:r>
      <w:r w:rsidRPr="007C1FA8">
        <w:t xml:space="preserve">ehicle </w:t>
      </w:r>
      <w:r>
        <w:t>c</w:t>
      </w:r>
      <w:r w:rsidRPr="007C1FA8">
        <w:t>harging to mitigate impacts on the electrical grid and minimize costs by controlling the time</w:t>
      </w:r>
      <w:r>
        <w:t xml:space="preserve"> and </w:t>
      </w:r>
      <w:r w:rsidRPr="007C1FA8">
        <w:t>power of chargin</w:t>
      </w:r>
      <w:r>
        <w:t>g.</w:t>
      </w:r>
    </w:p>
    <w:p w14:paraId="52EA160C" w14:textId="77777777" w:rsidR="001A5C1C" w:rsidRPr="0035480C" w:rsidRDefault="001A5C1C" w:rsidP="001A5C1C">
      <w:pPr>
        <w:rPr>
          <w:rFonts w:cstheme="minorHAnsi"/>
        </w:rPr>
      </w:pPr>
    </w:p>
    <w:p w14:paraId="795C9C1A" w14:textId="77777777" w:rsidR="001A5C1C" w:rsidRDefault="001A5C1C" w:rsidP="001A5C1C">
      <w:pPr>
        <w:pStyle w:val="ListParagraph"/>
        <w:numPr>
          <w:ilvl w:val="0"/>
          <w:numId w:val="9"/>
        </w:numPr>
        <w:spacing w:after="0" w:line="240" w:lineRule="auto"/>
        <w:ind w:right="0"/>
        <w:rPr>
          <w:rFonts w:cstheme="minorHAnsi"/>
        </w:rPr>
      </w:pPr>
      <w:r w:rsidRPr="002E16B3">
        <w:rPr>
          <w:rFonts w:cstheme="minorHAnsi"/>
        </w:rPr>
        <w:t>Demand Flexibility</w:t>
      </w:r>
    </w:p>
    <w:p w14:paraId="70DD982A" w14:textId="77777777" w:rsidR="001A5C1C" w:rsidRDefault="001A5C1C" w:rsidP="001A5C1C">
      <w:pPr>
        <w:pStyle w:val="ListParagraph"/>
        <w:ind w:left="1170"/>
        <w:rPr>
          <w:rFonts w:cstheme="minorHAnsi"/>
        </w:rPr>
      </w:pPr>
    </w:p>
    <w:p w14:paraId="002373BB" w14:textId="77777777" w:rsidR="001A5C1C" w:rsidRPr="008441EC" w:rsidRDefault="001A5C1C" w:rsidP="001A5C1C">
      <w:pPr>
        <w:pStyle w:val="ListParagraph"/>
        <w:ind w:left="1170"/>
        <w:rPr>
          <w:rFonts w:cstheme="minorHAnsi"/>
        </w:rPr>
      </w:pPr>
      <w:r w:rsidRPr="002E16B3">
        <w:rPr>
          <w:rFonts w:cstheme="minorHAnsi"/>
        </w:rPr>
        <w:t xml:space="preserve">The </w:t>
      </w:r>
      <w:r>
        <w:rPr>
          <w:rFonts w:cstheme="minorHAnsi"/>
        </w:rPr>
        <w:t>capability</w:t>
      </w:r>
      <w:r w:rsidRPr="002E16B3">
        <w:rPr>
          <w:rFonts w:cstheme="minorHAnsi"/>
        </w:rPr>
        <w:t xml:space="preserve"> </w:t>
      </w:r>
      <w:r>
        <w:rPr>
          <w:rFonts w:cstheme="minorHAnsi"/>
        </w:rPr>
        <w:t>for</w:t>
      </w:r>
      <w:r w:rsidRPr="002E16B3">
        <w:rPr>
          <w:rFonts w:cstheme="minorHAnsi"/>
        </w:rPr>
        <w:t xml:space="preserve"> demand-side </w:t>
      </w:r>
      <w:r>
        <w:rPr>
          <w:rFonts w:cstheme="minorHAnsi"/>
        </w:rPr>
        <w:t>building l</w:t>
      </w:r>
      <w:r w:rsidRPr="002E16B3">
        <w:rPr>
          <w:rFonts w:cstheme="minorHAnsi"/>
        </w:rPr>
        <w:t xml:space="preserve">oads to change their </w:t>
      </w:r>
      <w:r>
        <w:rPr>
          <w:rFonts w:cstheme="minorHAnsi"/>
        </w:rPr>
        <w:t xml:space="preserve">electricity </w:t>
      </w:r>
      <w:r w:rsidRPr="002E16B3">
        <w:rPr>
          <w:rFonts w:cstheme="minorHAnsi"/>
        </w:rPr>
        <w:t>consumption patterns by shaping, shedding, and shifting energy use</w:t>
      </w:r>
      <w:r>
        <w:rPr>
          <w:rFonts w:cstheme="minorHAnsi"/>
        </w:rPr>
        <w:t xml:space="preserve"> on a short-term basis based on time-of-use energy pricing or utility requests.</w:t>
      </w:r>
    </w:p>
    <w:p w14:paraId="6B1B72C5" w14:textId="77777777" w:rsidR="001A5C1C" w:rsidRPr="002E16B3" w:rsidRDefault="001A5C1C" w:rsidP="001A5C1C">
      <w:pPr>
        <w:rPr>
          <w:rFonts w:cstheme="minorHAnsi"/>
        </w:rPr>
      </w:pPr>
    </w:p>
    <w:p w14:paraId="170EE55C" w14:textId="77777777" w:rsidR="001A5C1C" w:rsidRPr="00D917EB" w:rsidRDefault="001A5C1C" w:rsidP="001A5C1C">
      <w:pPr>
        <w:pStyle w:val="ListParagraph"/>
        <w:numPr>
          <w:ilvl w:val="0"/>
          <w:numId w:val="9"/>
        </w:numPr>
        <w:spacing w:after="0" w:line="240" w:lineRule="auto"/>
        <w:ind w:right="0"/>
        <w:rPr>
          <w:rFonts w:cstheme="minorHAnsi"/>
        </w:rPr>
      </w:pPr>
      <w:r w:rsidRPr="002E16B3">
        <w:rPr>
          <w:rFonts w:cstheme="minorHAnsi"/>
        </w:rPr>
        <w:t>Off-site Renewable Energy</w:t>
      </w:r>
    </w:p>
    <w:p w14:paraId="3181AA9A" w14:textId="77777777" w:rsidR="001A5C1C" w:rsidRDefault="001A5C1C" w:rsidP="001A5C1C">
      <w:pPr>
        <w:pStyle w:val="ListParagraph"/>
        <w:ind w:left="1170"/>
      </w:pPr>
    </w:p>
    <w:p w14:paraId="0D061BA9" w14:textId="4DD423EF" w:rsidR="001A5C1C" w:rsidRDefault="001A5C1C" w:rsidP="00433605">
      <w:pPr>
        <w:pStyle w:val="ListParagraph"/>
        <w:ind w:left="1170"/>
        <w:rPr>
          <w:rFonts w:cstheme="minorHAnsi"/>
        </w:rPr>
      </w:pPr>
      <w:r>
        <w:rPr>
          <w:rFonts w:cstheme="minorHAnsi"/>
        </w:rPr>
        <w:t>T</w:t>
      </w:r>
      <w:r w:rsidRPr="002E16B3">
        <w:rPr>
          <w:rFonts w:cstheme="minorHAnsi"/>
        </w:rPr>
        <w:t xml:space="preserve">he </w:t>
      </w:r>
      <w:r>
        <w:rPr>
          <w:rFonts w:cstheme="minorHAnsi"/>
        </w:rPr>
        <w:t>procurement</w:t>
      </w:r>
      <w:r w:rsidRPr="002E16B3">
        <w:rPr>
          <w:rFonts w:cstheme="minorHAnsi"/>
        </w:rPr>
        <w:t xml:space="preserve"> of </w:t>
      </w:r>
      <w:r>
        <w:rPr>
          <w:rFonts w:cstheme="minorHAnsi"/>
        </w:rPr>
        <w:t>zero carbon electricity</w:t>
      </w:r>
      <w:r w:rsidRPr="002E16B3">
        <w:rPr>
          <w:rFonts w:cstheme="minorHAnsi"/>
        </w:rPr>
        <w:t xml:space="preserve"> from off-site renewable energy projects or through renewable energy certificates</w:t>
      </w:r>
      <w:r>
        <w:rPr>
          <w:rFonts w:cstheme="minorHAnsi"/>
        </w:rPr>
        <w:t>, generally</w:t>
      </w:r>
      <w:r w:rsidRPr="002E16B3">
        <w:rPr>
          <w:rFonts w:cstheme="minorHAnsi"/>
        </w:rPr>
        <w:t xml:space="preserve"> when </w:t>
      </w:r>
      <w:r>
        <w:rPr>
          <w:rFonts w:cstheme="minorHAnsi"/>
        </w:rPr>
        <w:t xml:space="preserve">sufficient on-site renewable generation </w:t>
      </w:r>
      <w:r w:rsidRPr="002E16B3">
        <w:rPr>
          <w:rFonts w:cstheme="minorHAnsi"/>
        </w:rPr>
        <w:t>is impractical</w:t>
      </w:r>
      <w:r>
        <w:rPr>
          <w:rFonts w:cstheme="minorHAnsi"/>
        </w:rPr>
        <w:t>.</w:t>
      </w:r>
    </w:p>
    <w:p w14:paraId="34572FCF" w14:textId="77777777" w:rsidR="00433605" w:rsidRPr="00433605" w:rsidRDefault="00433605" w:rsidP="00433605">
      <w:pPr>
        <w:rPr>
          <w:rFonts w:cstheme="minorHAnsi"/>
          <w:caps/>
          <w:u w:val="single"/>
        </w:rPr>
      </w:pPr>
    </w:p>
    <w:p w14:paraId="3F742F78" w14:textId="31719C71" w:rsidR="00FF0F03" w:rsidRDefault="00FF0F03">
      <w:pPr>
        <w:spacing w:after="0" w:line="240" w:lineRule="auto"/>
        <w:ind w:left="0" w:right="0" w:firstLine="0"/>
        <w:rPr>
          <w:rFonts w:cstheme="minorHAnsi"/>
        </w:rPr>
      </w:pPr>
      <w:r>
        <w:rPr>
          <w:rFonts w:cstheme="minorHAnsi"/>
        </w:rPr>
        <w:br w:type="page"/>
      </w:r>
    </w:p>
    <w:p w14:paraId="4E8FAD5C" w14:textId="55FB31D4" w:rsidR="00FF0F03" w:rsidRPr="00FF0F03" w:rsidRDefault="00FF0F03" w:rsidP="00FF0F03">
      <w:pPr>
        <w:pStyle w:val="ListParagraph"/>
        <w:ind w:left="0" w:firstLine="0"/>
        <w:rPr>
          <w:rFonts w:cs="Calibri (Body)"/>
          <w:caps/>
          <w:u w:val="single"/>
        </w:rPr>
      </w:pPr>
      <w:r w:rsidRPr="00FF0F03">
        <w:rPr>
          <w:rFonts w:cs="Calibri (Body)"/>
          <w:caps/>
          <w:u w:val="single"/>
        </w:rPr>
        <w:lastRenderedPageBreak/>
        <w:t xml:space="preserve">Appendix C </w:t>
      </w:r>
      <w:r w:rsidR="00E77358">
        <w:rPr>
          <w:rFonts w:cs="Calibri (Body)"/>
          <w:caps/>
          <w:u w:val="single"/>
        </w:rPr>
        <w:t>–</w:t>
      </w:r>
      <w:r w:rsidRPr="00FF0F03">
        <w:rPr>
          <w:rFonts w:cs="Calibri (Body)"/>
          <w:caps/>
          <w:u w:val="single"/>
        </w:rPr>
        <w:t xml:space="preserve"> </w:t>
      </w:r>
      <w:r w:rsidR="00E77358">
        <w:rPr>
          <w:rFonts w:cs="Calibri (Body)"/>
          <w:caps/>
          <w:u w:val="single"/>
        </w:rPr>
        <w:t xml:space="preserve">strategy game </w:t>
      </w:r>
      <w:r w:rsidRPr="00FF0F03">
        <w:rPr>
          <w:rFonts w:cs="Calibri (Body)"/>
          <w:caps/>
          <w:u w:val="single"/>
        </w:rPr>
        <w:t xml:space="preserve">Scoring Sheet </w:t>
      </w:r>
    </w:p>
    <w:p w14:paraId="2B3B08EB" w14:textId="77777777" w:rsidR="00FF0F03" w:rsidRDefault="00FF0F03" w:rsidP="00FF0F03">
      <w:pPr>
        <w:pStyle w:val="ListParagraph"/>
        <w:ind w:left="0" w:firstLine="0"/>
        <w:rPr>
          <w:rFonts w:cstheme="minorHAnsi"/>
        </w:rPr>
      </w:pPr>
    </w:p>
    <w:p w14:paraId="6E8B6860" w14:textId="0CBD2060" w:rsidR="00433605" w:rsidRDefault="00FF0F03" w:rsidP="00FF0F03">
      <w:pPr>
        <w:pStyle w:val="ListParagraph"/>
        <w:ind w:left="0" w:firstLine="0"/>
        <w:rPr>
          <w:rFonts w:cstheme="minorHAnsi"/>
        </w:rPr>
      </w:pPr>
      <w:r w:rsidRPr="00FF0F03">
        <w:rPr>
          <w:rFonts w:cstheme="minorHAnsi"/>
          <w:noProof/>
        </w:rPr>
        <w:drawing>
          <wp:inline distT="0" distB="0" distL="0" distR="0" wp14:anchorId="0B3D8E18" wp14:editId="78B8369C">
            <wp:extent cx="6008370" cy="7298690"/>
            <wp:effectExtent l="0" t="0" r="0" b="3810"/>
            <wp:docPr id="704149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49957" name=""/>
                    <pic:cNvPicPr/>
                  </pic:nvPicPr>
                  <pic:blipFill>
                    <a:blip r:embed="rId12"/>
                    <a:stretch>
                      <a:fillRect/>
                    </a:stretch>
                  </pic:blipFill>
                  <pic:spPr>
                    <a:xfrm>
                      <a:off x="0" y="0"/>
                      <a:ext cx="6008370" cy="7298690"/>
                    </a:xfrm>
                    <a:prstGeom prst="rect">
                      <a:avLst/>
                    </a:prstGeom>
                  </pic:spPr>
                </pic:pic>
              </a:graphicData>
            </a:graphic>
          </wp:inline>
        </w:drawing>
      </w:r>
    </w:p>
    <w:p w14:paraId="2AA437C0" w14:textId="77777777" w:rsidR="00FF0F03" w:rsidRDefault="00FF0F03" w:rsidP="00FF0F03">
      <w:pPr>
        <w:pStyle w:val="ListParagraph"/>
        <w:ind w:left="0" w:firstLine="0"/>
        <w:rPr>
          <w:rFonts w:cstheme="minorHAnsi"/>
        </w:rPr>
      </w:pPr>
    </w:p>
    <w:p w14:paraId="1E4232BC" w14:textId="24872891" w:rsidR="00FF0F03" w:rsidRDefault="00FF0F03">
      <w:pPr>
        <w:spacing w:after="0" w:line="240" w:lineRule="auto"/>
        <w:ind w:left="0" w:right="0" w:firstLine="0"/>
        <w:rPr>
          <w:rFonts w:cstheme="minorHAnsi"/>
        </w:rPr>
      </w:pPr>
      <w:r>
        <w:rPr>
          <w:rFonts w:cstheme="minorHAnsi"/>
        </w:rPr>
        <w:br w:type="page"/>
      </w:r>
    </w:p>
    <w:p w14:paraId="1C9AC061" w14:textId="792EA15A" w:rsidR="00FF0F03" w:rsidRDefault="00FF0F03" w:rsidP="00FF0F03">
      <w:pPr>
        <w:pStyle w:val="ListParagraph"/>
        <w:ind w:left="0" w:firstLine="0"/>
        <w:rPr>
          <w:rFonts w:cs="Calibri (Body)"/>
          <w:caps/>
          <w:u w:val="single"/>
        </w:rPr>
      </w:pPr>
      <w:r w:rsidRPr="00FF0F03">
        <w:rPr>
          <w:rFonts w:cs="Calibri (Body)"/>
          <w:caps/>
          <w:u w:val="single"/>
        </w:rPr>
        <w:lastRenderedPageBreak/>
        <w:t xml:space="preserve">Appendix </w:t>
      </w:r>
      <w:r>
        <w:rPr>
          <w:rFonts w:cs="Calibri (Body)"/>
          <w:caps/>
          <w:u w:val="single"/>
        </w:rPr>
        <w:t>D</w:t>
      </w:r>
      <w:r w:rsidRPr="00FF0F03">
        <w:rPr>
          <w:rFonts w:cs="Calibri (Body)"/>
          <w:caps/>
          <w:u w:val="single"/>
        </w:rPr>
        <w:t xml:space="preserve"> </w:t>
      </w:r>
      <w:r>
        <w:rPr>
          <w:rFonts w:cs="Calibri (Body)"/>
          <w:caps/>
          <w:u w:val="single"/>
        </w:rPr>
        <w:t>–</w:t>
      </w:r>
      <w:r w:rsidRPr="00FF0F03">
        <w:rPr>
          <w:rFonts w:cs="Calibri (Body)"/>
          <w:caps/>
          <w:u w:val="single"/>
        </w:rPr>
        <w:t xml:space="preserve"> </w:t>
      </w:r>
      <w:r>
        <w:rPr>
          <w:rFonts w:cs="Calibri (Body)"/>
          <w:caps/>
          <w:u w:val="single"/>
        </w:rPr>
        <w:t>Building decarbonization Practice Definitions Sheet</w:t>
      </w:r>
      <w:r w:rsidRPr="00FF0F03">
        <w:rPr>
          <w:rFonts w:cs="Calibri (Body)"/>
          <w:caps/>
          <w:u w:val="single"/>
        </w:rPr>
        <w:t xml:space="preserve"> </w:t>
      </w:r>
    </w:p>
    <w:p w14:paraId="0EB762F6" w14:textId="77777777" w:rsidR="00FF0F03" w:rsidRPr="00FF0F03" w:rsidRDefault="00FF0F03" w:rsidP="00FF0F03">
      <w:pPr>
        <w:pStyle w:val="ListParagraph"/>
        <w:ind w:left="0" w:firstLine="0"/>
        <w:rPr>
          <w:rFonts w:cs="Calibri (Body)"/>
          <w:caps/>
          <w:u w:val="single"/>
        </w:rPr>
      </w:pPr>
    </w:p>
    <w:p w14:paraId="702C0DAD" w14:textId="033ED5BF" w:rsidR="00FF0F03" w:rsidRPr="00433605" w:rsidRDefault="00FF0F03" w:rsidP="00FF0F03">
      <w:pPr>
        <w:pStyle w:val="ListParagraph"/>
        <w:ind w:left="0" w:firstLine="0"/>
        <w:rPr>
          <w:rFonts w:cstheme="minorHAnsi"/>
        </w:rPr>
      </w:pPr>
      <w:r w:rsidRPr="00FF0F03">
        <w:rPr>
          <w:rFonts w:cstheme="minorHAnsi"/>
          <w:noProof/>
        </w:rPr>
        <w:drawing>
          <wp:inline distT="0" distB="0" distL="0" distR="0" wp14:anchorId="67322BFC" wp14:editId="1B7AEE46">
            <wp:extent cx="5762625" cy="7610475"/>
            <wp:effectExtent l="0" t="0" r="3175" b="0"/>
            <wp:docPr id="1593385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85033" name=""/>
                    <pic:cNvPicPr/>
                  </pic:nvPicPr>
                  <pic:blipFill>
                    <a:blip r:embed="rId13"/>
                    <a:stretch>
                      <a:fillRect/>
                    </a:stretch>
                  </pic:blipFill>
                  <pic:spPr>
                    <a:xfrm>
                      <a:off x="0" y="0"/>
                      <a:ext cx="5762625" cy="7610475"/>
                    </a:xfrm>
                    <a:prstGeom prst="rect">
                      <a:avLst/>
                    </a:prstGeom>
                  </pic:spPr>
                </pic:pic>
              </a:graphicData>
            </a:graphic>
          </wp:inline>
        </w:drawing>
      </w:r>
    </w:p>
    <w:sectPr w:rsidR="00FF0F03" w:rsidRPr="00433605" w:rsidSect="0095146B">
      <w:headerReference w:type="even" r:id="rId14"/>
      <w:headerReference w:type="default" r:id="rId15"/>
      <w:headerReference w:type="first" r:id="rId16"/>
      <w:pgSz w:w="12240" w:h="15840"/>
      <w:pgMar w:top="1202" w:right="1194" w:bottom="1156" w:left="15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D8D5" w14:textId="77777777" w:rsidR="0095146B" w:rsidRDefault="0095146B">
      <w:pPr>
        <w:spacing w:after="0" w:line="240" w:lineRule="auto"/>
      </w:pPr>
      <w:r>
        <w:separator/>
      </w:r>
    </w:p>
  </w:endnote>
  <w:endnote w:type="continuationSeparator" w:id="0">
    <w:p w14:paraId="348A7195" w14:textId="77777777" w:rsidR="0095146B" w:rsidRDefault="0095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5F15" w14:textId="77777777" w:rsidR="0095146B" w:rsidRDefault="0095146B">
      <w:pPr>
        <w:spacing w:after="0" w:line="240" w:lineRule="auto"/>
      </w:pPr>
      <w:r>
        <w:separator/>
      </w:r>
    </w:p>
  </w:footnote>
  <w:footnote w:type="continuationSeparator" w:id="0">
    <w:p w14:paraId="00E7CE24" w14:textId="77777777" w:rsidR="0095146B" w:rsidRDefault="00951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387D" w14:textId="77777777" w:rsidR="00E927B7" w:rsidRDefault="00000000">
    <w:pPr>
      <w:tabs>
        <w:tab w:val="center" w:pos="5761"/>
        <w:tab w:val="center" w:pos="6481"/>
        <w:tab w:val="center" w:pos="7201"/>
        <w:tab w:val="center" w:pos="7922"/>
        <w:tab w:val="center" w:pos="8847"/>
      </w:tabs>
      <w:spacing w:after="0" w:line="259" w:lineRule="auto"/>
      <w:ind w:left="0" w:right="0" w:firstLine="0"/>
    </w:pPr>
    <w:r>
      <w:t xml:space="preserve">ASHRAE Global Building Decarbonization Concept </w:t>
    </w:r>
    <w:proofErr w:type="gramStart"/>
    <w:r>
      <w:t xml:space="preserve">Paper  </w:t>
    </w:r>
    <w:r>
      <w:tab/>
    </w:r>
    <w:proofErr w:type="gramEnd"/>
    <w:r>
      <w:t xml:space="preserve"> </w:t>
    </w:r>
    <w:r>
      <w:tab/>
      <w:t xml:space="preserve"> </w:t>
    </w:r>
    <w:r>
      <w:tab/>
      <w:t xml:space="preserve"> </w:t>
    </w:r>
    <w:r>
      <w:tab/>
      <w:t xml:space="preserve"> </w:t>
    </w:r>
    <w:r>
      <w:tab/>
      <w:t xml:space="preserve">      </w:t>
    </w:r>
    <w:r>
      <w:fldChar w:fldCharType="begin"/>
    </w:r>
    <w:r>
      <w:instrText xml:space="preserve"> PAGE   \* MERGEFORMAT </w:instrText>
    </w:r>
    <w:r>
      <w:fldChar w:fldCharType="separate"/>
    </w:r>
    <w:r>
      <w:t>2</w:t>
    </w:r>
    <w:r>
      <w:fldChar w:fldCharType="end"/>
    </w:r>
    <w:r>
      <w:t xml:space="preserve"> </w:t>
    </w:r>
  </w:p>
  <w:p w14:paraId="629FC95B" w14:textId="77777777" w:rsidR="00E927B7" w:rsidRDefault="00000000">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F27F" w14:textId="3BF54526" w:rsidR="00E927B7" w:rsidRDefault="00000000">
    <w:pPr>
      <w:tabs>
        <w:tab w:val="center" w:pos="5761"/>
        <w:tab w:val="center" w:pos="6481"/>
        <w:tab w:val="center" w:pos="7201"/>
        <w:tab w:val="center" w:pos="7922"/>
        <w:tab w:val="center" w:pos="8847"/>
      </w:tabs>
      <w:spacing w:after="0" w:line="259" w:lineRule="auto"/>
      <w:ind w:left="0" w:right="0" w:firstLine="0"/>
    </w:pPr>
    <w:r>
      <w:t xml:space="preserve">ASHRAE Building Decarbonization </w:t>
    </w:r>
    <w:r w:rsidR="001A5C1C">
      <w:t>Strategy Game</w:t>
    </w:r>
    <w:r>
      <w:t xml:space="preserve"> </w:t>
    </w:r>
    <w:r w:rsidR="00FF0F03">
      <w:t>– Facilitator’s Guide</w:t>
    </w:r>
    <w:r>
      <w:tab/>
      <w:t xml:space="preserve"> </w:t>
    </w:r>
    <w:r>
      <w:tab/>
      <w:t xml:space="preserve"> </w:t>
    </w:r>
    <w:r>
      <w:tab/>
      <w:t xml:space="preserve"> </w:t>
    </w:r>
    <w:r w:rsidR="00FF0F03">
      <w:t xml:space="preserve">   </w:t>
    </w:r>
    <w:r>
      <w:t xml:space="preserve">   </w:t>
    </w:r>
    <w:r w:rsidR="001A5C1C">
      <w:t xml:space="preserve">                           </w:t>
    </w:r>
    <w:r>
      <w:t xml:space="preserve">   </w:t>
    </w:r>
    <w:r>
      <w:fldChar w:fldCharType="begin"/>
    </w:r>
    <w:r>
      <w:instrText xml:space="preserve"> PAGE   \* MERGEFORMAT </w:instrText>
    </w:r>
    <w:r>
      <w:fldChar w:fldCharType="separate"/>
    </w:r>
    <w:r>
      <w:t>2</w:t>
    </w:r>
    <w:r>
      <w:fldChar w:fldCharType="end"/>
    </w:r>
    <w:r>
      <w:t xml:space="preserve"> </w:t>
    </w:r>
  </w:p>
  <w:p w14:paraId="149CCCBA" w14:textId="77777777" w:rsidR="00E927B7" w:rsidRDefault="00000000">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12" w14:textId="77777777" w:rsidR="00E927B7" w:rsidRDefault="00E927B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42FB"/>
    <w:multiLevelType w:val="hybridMultilevel"/>
    <w:tmpl w:val="98E4FE9C"/>
    <w:lvl w:ilvl="0" w:tplc="5B1CDC48">
      <w:start w:val="1"/>
      <w:numFmt w:val="bullet"/>
      <w:lvlText w:val="o"/>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416FF60">
      <w:start w:val="1"/>
      <w:numFmt w:val="bullet"/>
      <w:lvlText w:val="o"/>
      <w:lvlJc w:val="left"/>
      <w:pPr>
        <w:ind w:left="35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E7A411A">
      <w:start w:val="1"/>
      <w:numFmt w:val="bullet"/>
      <w:lvlText w:val="▪"/>
      <w:lvlJc w:val="left"/>
      <w:pPr>
        <w:ind w:left="42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65AD9DE">
      <w:start w:val="1"/>
      <w:numFmt w:val="bullet"/>
      <w:lvlText w:val="•"/>
      <w:lvlJc w:val="left"/>
      <w:pPr>
        <w:ind w:left="50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290EDD0">
      <w:start w:val="1"/>
      <w:numFmt w:val="bullet"/>
      <w:lvlText w:val="o"/>
      <w:lvlJc w:val="left"/>
      <w:pPr>
        <w:ind w:left="57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9FA239C">
      <w:start w:val="1"/>
      <w:numFmt w:val="bullet"/>
      <w:lvlText w:val="▪"/>
      <w:lvlJc w:val="left"/>
      <w:pPr>
        <w:ind w:left="6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79EEE2C">
      <w:start w:val="1"/>
      <w:numFmt w:val="bullet"/>
      <w:lvlText w:val="•"/>
      <w:lvlJc w:val="left"/>
      <w:pPr>
        <w:ind w:left="71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5382F9C">
      <w:start w:val="1"/>
      <w:numFmt w:val="bullet"/>
      <w:lvlText w:val="o"/>
      <w:lvlJc w:val="left"/>
      <w:pPr>
        <w:ind w:left="78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FD4517E">
      <w:start w:val="1"/>
      <w:numFmt w:val="bullet"/>
      <w:lvlText w:val="▪"/>
      <w:lvlJc w:val="left"/>
      <w:pPr>
        <w:ind w:left="86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824B0D"/>
    <w:multiLevelType w:val="hybridMultilevel"/>
    <w:tmpl w:val="391AF65C"/>
    <w:lvl w:ilvl="0" w:tplc="04090015">
      <w:start w:val="1"/>
      <w:numFmt w:val="upperLetter"/>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 w15:restartNumberingAfterBreak="0">
    <w:nsid w:val="3E0C13FB"/>
    <w:multiLevelType w:val="hybridMultilevel"/>
    <w:tmpl w:val="5404A236"/>
    <w:lvl w:ilvl="0" w:tplc="782461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A7F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969B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2A1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0CA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A3D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0CB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2E4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446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7A70A5"/>
    <w:multiLevelType w:val="hybridMultilevel"/>
    <w:tmpl w:val="5100C2A8"/>
    <w:lvl w:ilvl="0" w:tplc="31F84C9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24B9A">
      <w:start w:val="1"/>
      <w:numFmt w:val="bullet"/>
      <w:lvlText w:val="o"/>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685D12">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3C6FF2E">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504332">
      <w:start w:val="1"/>
      <w:numFmt w:val="bullet"/>
      <w:lvlText w:val="o"/>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6F0D174">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7C209CC">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E28CDA">
      <w:start w:val="1"/>
      <w:numFmt w:val="bullet"/>
      <w:lvlText w:val="o"/>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0765F84">
      <w:start w:val="1"/>
      <w:numFmt w:val="bullet"/>
      <w:lvlText w:val="▪"/>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5109E4"/>
    <w:multiLevelType w:val="hybridMultilevel"/>
    <w:tmpl w:val="508094A8"/>
    <w:lvl w:ilvl="0" w:tplc="614653F6">
      <w:start w:val="1"/>
      <w:numFmt w:val="bullet"/>
      <w:lvlText w:val="•"/>
      <w:lvlJc w:val="left"/>
      <w:pPr>
        <w:tabs>
          <w:tab w:val="num" w:pos="720"/>
        </w:tabs>
        <w:ind w:left="720" w:hanging="360"/>
      </w:pPr>
      <w:rPr>
        <w:rFonts w:ascii="Arial" w:hAnsi="Arial" w:hint="default"/>
      </w:rPr>
    </w:lvl>
    <w:lvl w:ilvl="1" w:tplc="7F0C64F6" w:tentative="1">
      <w:start w:val="1"/>
      <w:numFmt w:val="bullet"/>
      <w:lvlText w:val="•"/>
      <w:lvlJc w:val="left"/>
      <w:pPr>
        <w:tabs>
          <w:tab w:val="num" w:pos="1440"/>
        </w:tabs>
        <w:ind w:left="1440" w:hanging="360"/>
      </w:pPr>
      <w:rPr>
        <w:rFonts w:ascii="Arial" w:hAnsi="Arial" w:hint="default"/>
      </w:rPr>
    </w:lvl>
    <w:lvl w:ilvl="2" w:tplc="8F8C7624" w:tentative="1">
      <w:start w:val="1"/>
      <w:numFmt w:val="bullet"/>
      <w:lvlText w:val="•"/>
      <w:lvlJc w:val="left"/>
      <w:pPr>
        <w:tabs>
          <w:tab w:val="num" w:pos="2160"/>
        </w:tabs>
        <w:ind w:left="2160" w:hanging="360"/>
      </w:pPr>
      <w:rPr>
        <w:rFonts w:ascii="Arial" w:hAnsi="Arial" w:hint="default"/>
      </w:rPr>
    </w:lvl>
    <w:lvl w:ilvl="3" w:tplc="DB9CA4A4" w:tentative="1">
      <w:start w:val="1"/>
      <w:numFmt w:val="bullet"/>
      <w:lvlText w:val="•"/>
      <w:lvlJc w:val="left"/>
      <w:pPr>
        <w:tabs>
          <w:tab w:val="num" w:pos="2880"/>
        </w:tabs>
        <w:ind w:left="2880" w:hanging="360"/>
      </w:pPr>
      <w:rPr>
        <w:rFonts w:ascii="Arial" w:hAnsi="Arial" w:hint="default"/>
      </w:rPr>
    </w:lvl>
    <w:lvl w:ilvl="4" w:tplc="D608846E" w:tentative="1">
      <w:start w:val="1"/>
      <w:numFmt w:val="bullet"/>
      <w:lvlText w:val="•"/>
      <w:lvlJc w:val="left"/>
      <w:pPr>
        <w:tabs>
          <w:tab w:val="num" w:pos="3600"/>
        </w:tabs>
        <w:ind w:left="3600" w:hanging="360"/>
      </w:pPr>
      <w:rPr>
        <w:rFonts w:ascii="Arial" w:hAnsi="Arial" w:hint="default"/>
      </w:rPr>
    </w:lvl>
    <w:lvl w:ilvl="5" w:tplc="E3B08B94" w:tentative="1">
      <w:start w:val="1"/>
      <w:numFmt w:val="bullet"/>
      <w:lvlText w:val="•"/>
      <w:lvlJc w:val="left"/>
      <w:pPr>
        <w:tabs>
          <w:tab w:val="num" w:pos="4320"/>
        </w:tabs>
        <w:ind w:left="4320" w:hanging="360"/>
      </w:pPr>
      <w:rPr>
        <w:rFonts w:ascii="Arial" w:hAnsi="Arial" w:hint="default"/>
      </w:rPr>
    </w:lvl>
    <w:lvl w:ilvl="6" w:tplc="386CD97E" w:tentative="1">
      <w:start w:val="1"/>
      <w:numFmt w:val="bullet"/>
      <w:lvlText w:val="•"/>
      <w:lvlJc w:val="left"/>
      <w:pPr>
        <w:tabs>
          <w:tab w:val="num" w:pos="5040"/>
        </w:tabs>
        <w:ind w:left="5040" w:hanging="360"/>
      </w:pPr>
      <w:rPr>
        <w:rFonts w:ascii="Arial" w:hAnsi="Arial" w:hint="default"/>
      </w:rPr>
    </w:lvl>
    <w:lvl w:ilvl="7" w:tplc="54CCA56C" w:tentative="1">
      <w:start w:val="1"/>
      <w:numFmt w:val="bullet"/>
      <w:lvlText w:val="•"/>
      <w:lvlJc w:val="left"/>
      <w:pPr>
        <w:tabs>
          <w:tab w:val="num" w:pos="5760"/>
        </w:tabs>
        <w:ind w:left="5760" w:hanging="360"/>
      </w:pPr>
      <w:rPr>
        <w:rFonts w:ascii="Arial" w:hAnsi="Arial" w:hint="default"/>
      </w:rPr>
    </w:lvl>
    <w:lvl w:ilvl="8" w:tplc="9CA606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EB0D0E"/>
    <w:multiLevelType w:val="hybridMultilevel"/>
    <w:tmpl w:val="E5DA584C"/>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6" w15:restartNumberingAfterBreak="0">
    <w:nsid w:val="5C9468C1"/>
    <w:multiLevelType w:val="hybridMultilevel"/>
    <w:tmpl w:val="271842E4"/>
    <w:lvl w:ilvl="0" w:tplc="86A87C24">
      <w:start w:val="1"/>
      <w:numFmt w:val="bullet"/>
      <w:lvlText w:val="•"/>
      <w:lvlJc w:val="left"/>
      <w:pPr>
        <w:tabs>
          <w:tab w:val="num" w:pos="720"/>
        </w:tabs>
        <w:ind w:left="720" w:hanging="360"/>
      </w:pPr>
      <w:rPr>
        <w:rFonts w:ascii="Arial" w:hAnsi="Arial" w:hint="default"/>
      </w:rPr>
    </w:lvl>
    <w:lvl w:ilvl="1" w:tplc="1540B59C">
      <w:numFmt w:val="bullet"/>
      <w:lvlText w:val="•"/>
      <w:lvlJc w:val="left"/>
      <w:pPr>
        <w:tabs>
          <w:tab w:val="num" w:pos="1440"/>
        </w:tabs>
        <w:ind w:left="1440" w:hanging="360"/>
      </w:pPr>
      <w:rPr>
        <w:rFonts w:ascii="Arial" w:hAnsi="Arial" w:hint="default"/>
      </w:rPr>
    </w:lvl>
    <w:lvl w:ilvl="2" w:tplc="97F87D96" w:tentative="1">
      <w:start w:val="1"/>
      <w:numFmt w:val="bullet"/>
      <w:lvlText w:val="•"/>
      <w:lvlJc w:val="left"/>
      <w:pPr>
        <w:tabs>
          <w:tab w:val="num" w:pos="2160"/>
        </w:tabs>
        <w:ind w:left="2160" w:hanging="360"/>
      </w:pPr>
      <w:rPr>
        <w:rFonts w:ascii="Arial" w:hAnsi="Arial" w:hint="default"/>
      </w:rPr>
    </w:lvl>
    <w:lvl w:ilvl="3" w:tplc="526C81E6" w:tentative="1">
      <w:start w:val="1"/>
      <w:numFmt w:val="bullet"/>
      <w:lvlText w:val="•"/>
      <w:lvlJc w:val="left"/>
      <w:pPr>
        <w:tabs>
          <w:tab w:val="num" w:pos="2880"/>
        </w:tabs>
        <w:ind w:left="2880" w:hanging="360"/>
      </w:pPr>
      <w:rPr>
        <w:rFonts w:ascii="Arial" w:hAnsi="Arial" w:hint="default"/>
      </w:rPr>
    </w:lvl>
    <w:lvl w:ilvl="4" w:tplc="C37856A8" w:tentative="1">
      <w:start w:val="1"/>
      <w:numFmt w:val="bullet"/>
      <w:lvlText w:val="•"/>
      <w:lvlJc w:val="left"/>
      <w:pPr>
        <w:tabs>
          <w:tab w:val="num" w:pos="3600"/>
        </w:tabs>
        <w:ind w:left="3600" w:hanging="360"/>
      </w:pPr>
      <w:rPr>
        <w:rFonts w:ascii="Arial" w:hAnsi="Arial" w:hint="default"/>
      </w:rPr>
    </w:lvl>
    <w:lvl w:ilvl="5" w:tplc="F160B3EE" w:tentative="1">
      <w:start w:val="1"/>
      <w:numFmt w:val="bullet"/>
      <w:lvlText w:val="•"/>
      <w:lvlJc w:val="left"/>
      <w:pPr>
        <w:tabs>
          <w:tab w:val="num" w:pos="4320"/>
        </w:tabs>
        <w:ind w:left="4320" w:hanging="360"/>
      </w:pPr>
      <w:rPr>
        <w:rFonts w:ascii="Arial" w:hAnsi="Arial" w:hint="default"/>
      </w:rPr>
    </w:lvl>
    <w:lvl w:ilvl="6" w:tplc="3BB048FE" w:tentative="1">
      <w:start w:val="1"/>
      <w:numFmt w:val="bullet"/>
      <w:lvlText w:val="•"/>
      <w:lvlJc w:val="left"/>
      <w:pPr>
        <w:tabs>
          <w:tab w:val="num" w:pos="5040"/>
        </w:tabs>
        <w:ind w:left="5040" w:hanging="360"/>
      </w:pPr>
      <w:rPr>
        <w:rFonts w:ascii="Arial" w:hAnsi="Arial" w:hint="default"/>
      </w:rPr>
    </w:lvl>
    <w:lvl w:ilvl="7" w:tplc="99D653F8" w:tentative="1">
      <w:start w:val="1"/>
      <w:numFmt w:val="bullet"/>
      <w:lvlText w:val="•"/>
      <w:lvlJc w:val="left"/>
      <w:pPr>
        <w:tabs>
          <w:tab w:val="num" w:pos="5760"/>
        </w:tabs>
        <w:ind w:left="5760" w:hanging="360"/>
      </w:pPr>
      <w:rPr>
        <w:rFonts w:ascii="Arial" w:hAnsi="Arial" w:hint="default"/>
      </w:rPr>
    </w:lvl>
    <w:lvl w:ilvl="8" w:tplc="D1B0E9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2E0AE9"/>
    <w:multiLevelType w:val="hybridMultilevel"/>
    <w:tmpl w:val="8618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00D09"/>
    <w:multiLevelType w:val="hybridMultilevel"/>
    <w:tmpl w:val="8A7ADFB6"/>
    <w:lvl w:ilvl="0" w:tplc="EC225724">
      <w:start w:val="1"/>
      <w:numFmt w:val="bullet"/>
      <w:lvlText w:val="o"/>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5C0A924">
      <w:start w:val="1"/>
      <w:numFmt w:val="bullet"/>
      <w:lvlText w:val="o"/>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520B676">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19C4AF2">
      <w:start w:val="1"/>
      <w:numFmt w:val="bullet"/>
      <w:lvlText w:val="•"/>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0844E5A">
      <w:start w:val="1"/>
      <w:numFmt w:val="bullet"/>
      <w:lvlText w:val="o"/>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F1CB690">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289698">
      <w:start w:val="1"/>
      <w:numFmt w:val="bullet"/>
      <w:lvlText w:val="•"/>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2AFBDA">
      <w:start w:val="1"/>
      <w:numFmt w:val="bullet"/>
      <w:lvlText w:val="o"/>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870ECB8">
      <w:start w:val="1"/>
      <w:numFmt w:val="bullet"/>
      <w:lvlText w:val="▪"/>
      <w:lvlJc w:val="left"/>
      <w:pPr>
        <w:ind w:left="73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4D7034"/>
    <w:multiLevelType w:val="hybridMultilevel"/>
    <w:tmpl w:val="784C9DF6"/>
    <w:lvl w:ilvl="0" w:tplc="66B6C7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6D9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F2F8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E084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A230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885F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58D0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38ED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BE8E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7479134">
    <w:abstractNumId w:val="2"/>
  </w:num>
  <w:num w:numId="2" w16cid:durableId="1168401450">
    <w:abstractNumId w:val="9"/>
  </w:num>
  <w:num w:numId="3" w16cid:durableId="1972976016">
    <w:abstractNumId w:val="3"/>
  </w:num>
  <w:num w:numId="4" w16cid:durableId="874584545">
    <w:abstractNumId w:val="8"/>
  </w:num>
  <w:num w:numId="5" w16cid:durableId="880441433">
    <w:abstractNumId w:val="0"/>
  </w:num>
  <w:num w:numId="6" w16cid:durableId="970283260">
    <w:abstractNumId w:val="6"/>
  </w:num>
  <w:num w:numId="7" w16cid:durableId="734158462">
    <w:abstractNumId w:val="7"/>
  </w:num>
  <w:num w:numId="8" w16cid:durableId="1935046339">
    <w:abstractNumId w:val="1"/>
  </w:num>
  <w:num w:numId="9" w16cid:durableId="282226120">
    <w:abstractNumId w:val="5"/>
  </w:num>
  <w:num w:numId="10" w16cid:durableId="1045836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B7"/>
    <w:rsid w:val="00032882"/>
    <w:rsid w:val="000F60C5"/>
    <w:rsid w:val="00144A4A"/>
    <w:rsid w:val="0016115D"/>
    <w:rsid w:val="001A5C1C"/>
    <w:rsid w:val="001B3B28"/>
    <w:rsid w:val="001D315D"/>
    <w:rsid w:val="001D4753"/>
    <w:rsid w:val="00281B4F"/>
    <w:rsid w:val="002C2834"/>
    <w:rsid w:val="002C7B1C"/>
    <w:rsid w:val="002D0DFC"/>
    <w:rsid w:val="002D5761"/>
    <w:rsid w:val="003433FD"/>
    <w:rsid w:val="00347585"/>
    <w:rsid w:val="0038340B"/>
    <w:rsid w:val="003D5242"/>
    <w:rsid w:val="0040639E"/>
    <w:rsid w:val="00433605"/>
    <w:rsid w:val="004550ED"/>
    <w:rsid w:val="0075359A"/>
    <w:rsid w:val="0080629E"/>
    <w:rsid w:val="0095146B"/>
    <w:rsid w:val="009D6948"/>
    <w:rsid w:val="00A056BB"/>
    <w:rsid w:val="00A7055F"/>
    <w:rsid w:val="00AA7E24"/>
    <w:rsid w:val="00B73064"/>
    <w:rsid w:val="00BB4653"/>
    <w:rsid w:val="00BF1E27"/>
    <w:rsid w:val="00C34CFE"/>
    <w:rsid w:val="00CF6961"/>
    <w:rsid w:val="00D27891"/>
    <w:rsid w:val="00E0186A"/>
    <w:rsid w:val="00E37CAC"/>
    <w:rsid w:val="00E77358"/>
    <w:rsid w:val="00E927B7"/>
    <w:rsid w:val="00E92C2E"/>
    <w:rsid w:val="00F1701E"/>
    <w:rsid w:val="00F519BD"/>
    <w:rsid w:val="00F9156B"/>
    <w:rsid w:val="00FE3956"/>
    <w:rsid w:val="00FF0F03"/>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9535"/>
  <w15:docId w15:val="{13DE0C89-6FA4-9342-9715-004A3533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8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left="10" w:right="390" w:hanging="10"/>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9D6948"/>
    <w:pPr>
      <w:ind w:left="720"/>
      <w:contextualSpacing/>
    </w:pPr>
  </w:style>
  <w:style w:type="paragraph" w:styleId="Footer">
    <w:name w:val="footer"/>
    <w:basedOn w:val="Normal"/>
    <w:link w:val="FooterChar"/>
    <w:uiPriority w:val="99"/>
    <w:unhideWhenUsed/>
    <w:rsid w:val="001A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C1C"/>
    <w:rPr>
      <w:rFonts w:ascii="Calibri" w:eastAsia="Calibri" w:hAnsi="Calibri" w:cs="Calibri"/>
      <w:color w:val="000000"/>
      <w:sz w:val="22"/>
      <w:lang w:bidi="en-US"/>
    </w:rPr>
  </w:style>
  <w:style w:type="character" w:styleId="Hyperlink">
    <w:name w:val="Hyperlink"/>
    <w:basedOn w:val="DefaultParagraphFont"/>
    <w:uiPriority w:val="99"/>
    <w:unhideWhenUsed/>
    <w:rsid w:val="00AA7E24"/>
    <w:rPr>
      <w:color w:val="0563C1" w:themeColor="hyperlink"/>
      <w:u w:val="single"/>
    </w:rPr>
  </w:style>
  <w:style w:type="character" w:styleId="UnresolvedMention">
    <w:name w:val="Unresolved Mention"/>
    <w:basedOn w:val="DefaultParagraphFont"/>
    <w:uiPriority w:val="99"/>
    <w:semiHidden/>
    <w:unhideWhenUsed/>
    <w:rsid w:val="00AA7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801706">
      <w:bodyDiv w:val="1"/>
      <w:marLeft w:val="0"/>
      <w:marRight w:val="0"/>
      <w:marTop w:val="0"/>
      <w:marBottom w:val="0"/>
      <w:divBdr>
        <w:top w:val="none" w:sz="0" w:space="0" w:color="auto"/>
        <w:left w:val="none" w:sz="0" w:space="0" w:color="auto"/>
        <w:bottom w:val="none" w:sz="0" w:space="0" w:color="auto"/>
        <w:right w:val="none" w:sz="0" w:space="0" w:color="auto"/>
      </w:divBdr>
    </w:div>
    <w:div w:id="1330139826">
      <w:bodyDiv w:val="1"/>
      <w:marLeft w:val="0"/>
      <w:marRight w:val="0"/>
      <w:marTop w:val="0"/>
      <w:marBottom w:val="0"/>
      <w:divBdr>
        <w:top w:val="none" w:sz="0" w:space="0" w:color="auto"/>
        <w:left w:val="none" w:sz="0" w:space="0" w:color="auto"/>
        <w:bottom w:val="none" w:sz="0" w:space="0" w:color="auto"/>
        <w:right w:val="none" w:sz="0" w:space="0" w:color="auto"/>
      </w:divBdr>
      <w:divsChild>
        <w:div w:id="84348804">
          <w:marLeft w:val="274"/>
          <w:marRight w:val="0"/>
          <w:marTop w:val="0"/>
          <w:marBottom w:val="0"/>
          <w:divBdr>
            <w:top w:val="none" w:sz="0" w:space="0" w:color="auto"/>
            <w:left w:val="none" w:sz="0" w:space="0" w:color="auto"/>
            <w:bottom w:val="none" w:sz="0" w:space="0" w:color="auto"/>
            <w:right w:val="none" w:sz="0" w:space="0" w:color="auto"/>
          </w:divBdr>
        </w:div>
      </w:divsChild>
    </w:div>
    <w:div w:id="1896382316">
      <w:bodyDiv w:val="1"/>
      <w:marLeft w:val="0"/>
      <w:marRight w:val="0"/>
      <w:marTop w:val="0"/>
      <w:marBottom w:val="0"/>
      <w:divBdr>
        <w:top w:val="none" w:sz="0" w:space="0" w:color="auto"/>
        <w:left w:val="none" w:sz="0" w:space="0" w:color="auto"/>
        <w:bottom w:val="none" w:sz="0" w:space="0" w:color="auto"/>
        <w:right w:val="none" w:sz="0" w:space="0" w:color="auto"/>
      </w:divBdr>
      <w:divsChild>
        <w:div w:id="1732315367">
          <w:marLeft w:val="547"/>
          <w:marRight w:val="0"/>
          <w:marTop w:val="120"/>
          <w:marBottom w:val="0"/>
          <w:divBdr>
            <w:top w:val="none" w:sz="0" w:space="0" w:color="auto"/>
            <w:left w:val="none" w:sz="0" w:space="0" w:color="auto"/>
            <w:bottom w:val="none" w:sz="0" w:space="0" w:color="auto"/>
            <w:right w:val="none" w:sz="0" w:space="0" w:color="auto"/>
          </w:divBdr>
        </w:div>
        <w:div w:id="679551411">
          <w:marLeft w:val="547"/>
          <w:marRight w:val="0"/>
          <w:marTop w:val="120"/>
          <w:marBottom w:val="0"/>
          <w:divBdr>
            <w:top w:val="none" w:sz="0" w:space="0" w:color="auto"/>
            <w:left w:val="none" w:sz="0" w:space="0" w:color="auto"/>
            <w:bottom w:val="none" w:sz="0" w:space="0" w:color="auto"/>
            <w:right w:val="none" w:sz="0" w:space="0" w:color="auto"/>
          </w:divBdr>
        </w:div>
        <w:div w:id="2133203371">
          <w:marLeft w:val="1267"/>
          <w:marRight w:val="0"/>
          <w:marTop w:val="120"/>
          <w:marBottom w:val="0"/>
          <w:divBdr>
            <w:top w:val="none" w:sz="0" w:space="0" w:color="auto"/>
            <w:left w:val="none" w:sz="0" w:space="0" w:color="auto"/>
            <w:bottom w:val="none" w:sz="0" w:space="0" w:color="auto"/>
            <w:right w:val="none" w:sz="0" w:space="0" w:color="auto"/>
          </w:divBdr>
        </w:div>
        <w:div w:id="806046397">
          <w:marLeft w:val="1267"/>
          <w:marRight w:val="0"/>
          <w:marTop w:val="120"/>
          <w:marBottom w:val="0"/>
          <w:divBdr>
            <w:top w:val="none" w:sz="0" w:space="0" w:color="auto"/>
            <w:left w:val="none" w:sz="0" w:space="0" w:color="auto"/>
            <w:bottom w:val="none" w:sz="0" w:space="0" w:color="auto"/>
            <w:right w:val="none" w:sz="0" w:space="0" w:color="auto"/>
          </w:divBdr>
        </w:div>
        <w:div w:id="367337711">
          <w:marLeft w:val="547"/>
          <w:marRight w:val="0"/>
          <w:marTop w:val="120"/>
          <w:marBottom w:val="0"/>
          <w:divBdr>
            <w:top w:val="none" w:sz="0" w:space="0" w:color="auto"/>
            <w:left w:val="none" w:sz="0" w:space="0" w:color="auto"/>
            <w:bottom w:val="none" w:sz="0" w:space="0" w:color="auto"/>
            <w:right w:val="none" w:sz="0" w:space="0" w:color="auto"/>
          </w:divBdr>
        </w:div>
        <w:div w:id="1093159755">
          <w:marLeft w:val="1166"/>
          <w:marRight w:val="0"/>
          <w:marTop w:val="120"/>
          <w:marBottom w:val="0"/>
          <w:divBdr>
            <w:top w:val="none" w:sz="0" w:space="0" w:color="auto"/>
            <w:left w:val="none" w:sz="0" w:space="0" w:color="auto"/>
            <w:bottom w:val="none" w:sz="0" w:space="0" w:color="auto"/>
            <w:right w:val="none" w:sz="0" w:space="0" w:color="auto"/>
          </w:divBdr>
        </w:div>
        <w:div w:id="544872947">
          <w:marLeft w:val="1166"/>
          <w:marRight w:val="0"/>
          <w:marTop w:val="120"/>
          <w:marBottom w:val="0"/>
          <w:divBdr>
            <w:top w:val="none" w:sz="0" w:space="0" w:color="auto"/>
            <w:left w:val="none" w:sz="0" w:space="0" w:color="auto"/>
            <w:bottom w:val="none" w:sz="0" w:space="0" w:color="auto"/>
            <w:right w:val="none" w:sz="0" w:space="0" w:color="auto"/>
          </w:divBdr>
        </w:div>
        <w:div w:id="849175332">
          <w:marLeft w:val="1166"/>
          <w:marRight w:val="0"/>
          <w:marTop w:val="120"/>
          <w:marBottom w:val="0"/>
          <w:divBdr>
            <w:top w:val="none" w:sz="0" w:space="0" w:color="auto"/>
            <w:left w:val="none" w:sz="0" w:space="0" w:color="auto"/>
            <w:bottom w:val="none" w:sz="0" w:space="0" w:color="auto"/>
            <w:right w:val="none" w:sz="0" w:space="0" w:color="auto"/>
          </w:divBdr>
        </w:div>
        <w:div w:id="1829054379">
          <w:marLeft w:val="116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y@neslergroup.com"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daily.com/945040/reduce-reuse-and-recycle-the-three-rs-rule-applied-to-architectur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Sinclair</dc:creator>
  <cp:keywords/>
  <cp:lastModifiedBy>Clay Nesler</cp:lastModifiedBy>
  <cp:revision>2</cp:revision>
  <dcterms:created xsi:type="dcterms:W3CDTF">2024-03-28T14:59:00Z</dcterms:created>
  <dcterms:modified xsi:type="dcterms:W3CDTF">2024-03-28T14:59:00Z</dcterms:modified>
</cp:coreProperties>
</file>