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51" w:rsidRPr="00A93851" w:rsidRDefault="00A93851" w:rsidP="00A93851">
      <w:pPr>
        <w:jc w:val="center"/>
        <w:rPr>
          <w:b/>
          <w:u w:val="single"/>
        </w:rPr>
      </w:pPr>
      <w:bookmarkStart w:id="0" w:name="_GoBack"/>
      <w:r w:rsidRPr="00A93851">
        <w:rPr>
          <w:b/>
          <w:u w:val="single"/>
        </w:rPr>
        <w:t xml:space="preserve">Refrigeration Committee </w:t>
      </w:r>
      <w:r w:rsidRPr="00A93851">
        <w:rPr>
          <w:b/>
          <w:u w:val="single"/>
        </w:rPr>
        <w:br/>
      </w:r>
      <w:bookmarkEnd w:id="0"/>
      <w:r w:rsidRPr="00A93851">
        <w:rPr>
          <w:b/>
          <w:u w:val="single"/>
        </w:rPr>
        <w:t>Committee Member Responsibilities</w:t>
      </w:r>
    </w:p>
    <w:p w:rsidR="00A93851" w:rsidRPr="00A93851" w:rsidRDefault="00A93851" w:rsidP="00A93851">
      <w:pPr>
        <w:rPr>
          <w:b/>
          <w:u w:val="single"/>
        </w:rPr>
      </w:pPr>
      <w:r w:rsidRPr="00A93851">
        <w:rPr>
          <w:b/>
          <w:u w:val="single"/>
        </w:rPr>
        <w:t xml:space="preserve">General Overview </w:t>
      </w:r>
    </w:p>
    <w:p w:rsidR="00A93851" w:rsidRDefault="00A93851" w:rsidP="00A93851">
      <w:pPr>
        <w:pStyle w:val="ListParagraph"/>
        <w:numPr>
          <w:ilvl w:val="0"/>
          <w:numId w:val="16"/>
        </w:numPr>
      </w:pPr>
      <w:r>
        <w:t xml:space="preserve">General Description of the position: The Refrigeration Committee is responsible for promoting refrigeration education and development in the field of refrigeration at the chapter, regional and international levels of ASHRAE. The committee consists of a Chair, Vice Chair and ten (10) voting members. The chair of the committee shall be a non-voting member of the Technology Council. </w:t>
      </w:r>
    </w:p>
    <w:p w:rsidR="00A93851" w:rsidRDefault="00A93851" w:rsidP="00A93851">
      <w:pPr>
        <w:pStyle w:val="ListParagraph"/>
        <w:numPr>
          <w:ilvl w:val="0"/>
          <w:numId w:val="16"/>
        </w:numPr>
      </w:pPr>
      <w:r>
        <w:t xml:space="preserve">Term of Service: Service on this committee for the members is intended to be for a 3-year term. Service on this committee for the Chair, Vice Chair, BOD </w:t>
      </w:r>
      <w:proofErr w:type="spellStart"/>
      <w:r>
        <w:t>exofficio</w:t>
      </w:r>
      <w:proofErr w:type="spellEnd"/>
      <w:r>
        <w:t xml:space="preserve"> and Coordinating Officer is intended to be for a one-year term. Appointments are made, however, each year by the President-Elect for the administrative year covered by his term as president. The chairman of the committee shall be a non-voting member of the Technology Council. Members of the Refrigeration Committee are appointed by the President-Elect. </w:t>
      </w:r>
    </w:p>
    <w:p w:rsidR="00A93851" w:rsidRDefault="00A93851" w:rsidP="00A93851">
      <w:pPr>
        <w:pStyle w:val="ListParagraph"/>
        <w:numPr>
          <w:ilvl w:val="0"/>
          <w:numId w:val="16"/>
        </w:numPr>
      </w:pPr>
      <w:r>
        <w:t xml:space="preserve">Required Qualifications: Committee members should have experience and interest in some aspect of refrigeration. </w:t>
      </w:r>
    </w:p>
    <w:p w:rsidR="00A93851" w:rsidRDefault="00A93851" w:rsidP="00A93851">
      <w:pPr>
        <w:pStyle w:val="ListParagraph"/>
        <w:numPr>
          <w:ilvl w:val="0"/>
          <w:numId w:val="16"/>
        </w:numPr>
      </w:pPr>
      <w:r>
        <w:t xml:space="preserve">Helpful qualifications, experience, interests, or skills: Past participation in ASHRAE refrigeration technical committees, standing committees and chapter/regional activities is also desirable. Two voting members should have an international background or experience. </w:t>
      </w:r>
    </w:p>
    <w:p w:rsidR="00A93851" w:rsidRDefault="00A93851" w:rsidP="00A93851">
      <w:r w:rsidRPr="00A93851">
        <w:rPr>
          <w:b/>
          <w:u w:val="single"/>
        </w:rPr>
        <w:t>Specific Time, Money, and Task Commitments</w:t>
      </w:r>
      <w:r>
        <w:t xml:space="preserve"> </w:t>
      </w:r>
    </w:p>
    <w:p w:rsidR="00A93851" w:rsidRDefault="00A93851" w:rsidP="00A93851">
      <w:pPr>
        <w:pStyle w:val="ListParagraph"/>
        <w:numPr>
          <w:ilvl w:val="0"/>
          <w:numId w:val="14"/>
        </w:numPr>
      </w:pPr>
      <w:r>
        <w:t>Attend the ASHRAE Annual (</w:t>
      </w:r>
      <w:proofErr w:type="gramStart"/>
      <w:r>
        <w:t>Summer</w:t>
      </w:r>
      <w:proofErr w:type="gramEnd"/>
      <w:r>
        <w:t xml:space="preserve">) and Winter Meetings. </w:t>
      </w:r>
    </w:p>
    <w:p w:rsidR="00A93851" w:rsidRDefault="00A93851" w:rsidP="00A93851">
      <w:pPr>
        <w:pStyle w:val="ListParagraph"/>
      </w:pPr>
      <w:r>
        <w:t xml:space="preserve">• Describe what dates they need to be there: Sunday, 8am-12 pm. </w:t>
      </w:r>
    </w:p>
    <w:p w:rsidR="00A93851" w:rsidRDefault="00A93851" w:rsidP="00A93851">
      <w:pPr>
        <w:pStyle w:val="ListParagraph"/>
      </w:pPr>
      <w:r>
        <w:t xml:space="preserve">• Who covers transportation? Transportation costs are paid by society. Transportation is cost of Air fare or mileage to the meeting only. Hotel and meals are not reimbursed. </w:t>
      </w:r>
    </w:p>
    <w:p w:rsidR="00A93851" w:rsidRDefault="00A93851" w:rsidP="00A93851">
      <w:pPr>
        <w:pStyle w:val="ListParagraph"/>
      </w:pPr>
      <w:r>
        <w:t xml:space="preserve">• Detail any other expenses covered by Society. Conference calls have US 800 numbers. </w:t>
      </w:r>
    </w:p>
    <w:p w:rsidR="00A93851" w:rsidRDefault="00A93851" w:rsidP="00A93851">
      <w:pPr>
        <w:pStyle w:val="ListParagraph"/>
      </w:pPr>
      <w:r>
        <w:t xml:space="preserve">• Subcommittee work description. There will be </w:t>
      </w:r>
      <w:proofErr w:type="gramStart"/>
      <w:r>
        <w:t>sub-committee</w:t>
      </w:r>
      <w:proofErr w:type="gramEnd"/>
      <w:r>
        <w:t xml:space="preserve"> meetings prior to the meeting of the entire committee. You will be assigned to a couple of subcommittees and there is some work to do on those co</w:t>
      </w:r>
      <w:r>
        <w:t xml:space="preserve">mmittees in between meetings. </w:t>
      </w:r>
    </w:p>
    <w:p w:rsidR="00A93851" w:rsidRDefault="00A93851" w:rsidP="00A93851">
      <w:pPr>
        <w:pStyle w:val="ListParagraph"/>
        <w:numPr>
          <w:ilvl w:val="0"/>
          <w:numId w:val="13"/>
        </w:numPr>
      </w:pPr>
      <w:r>
        <w:t>The current sub-committees/programs: Education, TC Liaison, Publications, Program, Resea</w:t>
      </w:r>
      <w:r>
        <w:t>rch.</w:t>
      </w:r>
    </w:p>
    <w:p w:rsidR="00A93851" w:rsidRDefault="00A93851" w:rsidP="00A93851">
      <w:pPr>
        <w:pStyle w:val="ListParagraph"/>
        <w:numPr>
          <w:ilvl w:val="0"/>
          <w:numId w:val="19"/>
        </w:numPr>
      </w:pPr>
      <w:r>
        <w:t>Sp</w:t>
      </w:r>
      <w:r>
        <w:t xml:space="preserve">ecial events to be aware of at this meeting. There is often a Refrigeration Committee dinner meeting at the </w:t>
      </w:r>
      <w:proofErr w:type="gramStart"/>
      <w:r>
        <w:t>Winter</w:t>
      </w:r>
      <w:proofErr w:type="gramEnd"/>
      <w:r>
        <w:t xml:space="preserve"> or Annual Meeting. </w:t>
      </w:r>
    </w:p>
    <w:p w:rsidR="00A93851" w:rsidRDefault="00A93851" w:rsidP="00A93851">
      <w:pPr>
        <w:pStyle w:val="ListParagraph"/>
      </w:pPr>
    </w:p>
    <w:p w:rsidR="00A93851" w:rsidRDefault="00A93851" w:rsidP="00A93851">
      <w:pPr>
        <w:pStyle w:val="ListParagraph"/>
        <w:numPr>
          <w:ilvl w:val="0"/>
          <w:numId w:val="14"/>
        </w:numPr>
      </w:pPr>
      <w:r>
        <w:t xml:space="preserve">Requirements between Annual and </w:t>
      </w:r>
      <w:proofErr w:type="gramStart"/>
      <w:r>
        <w:t>Winter</w:t>
      </w:r>
      <w:proofErr w:type="gramEnd"/>
      <w:r>
        <w:t xml:space="preserve"> meetings. </w:t>
      </w:r>
    </w:p>
    <w:p w:rsidR="00A93851" w:rsidRDefault="00A93851" w:rsidP="00A93851">
      <w:pPr>
        <w:pStyle w:val="ListParagraph"/>
      </w:pPr>
      <w:r>
        <w:t xml:space="preserve">• There are 1 or 2 conference calls between meetings. </w:t>
      </w:r>
    </w:p>
    <w:p w:rsidR="00A93851" w:rsidRDefault="00A93851" w:rsidP="00A93851">
      <w:pPr>
        <w:pStyle w:val="ListParagraph"/>
      </w:pPr>
      <w:r>
        <w:t xml:space="preserve">• Usually there are no face-to-face meetings in spring and fall. </w:t>
      </w:r>
    </w:p>
    <w:p w:rsidR="00A93851" w:rsidRDefault="00A93851" w:rsidP="00A93851">
      <w:pPr>
        <w:pStyle w:val="ListParagraph"/>
      </w:pPr>
      <w:r>
        <w:t xml:space="preserve">• Describe individual work load and anticipated time requirement per week (or month). </w:t>
      </w:r>
    </w:p>
    <w:p w:rsidR="00A93851" w:rsidRDefault="00A93851" w:rsidP="00A93851">
      <w:pPr>
        <w:pStyle w:val="ListParagraph"/>
      </w:pPr>
    </w:p>
    <w:p w:rsidR="00AD7AD4" w:rsidRPr="00F241E4" w:rsidRDefault="00A93851" w:rsidP="00A93851">
      <w:pPr>
        <w:pStyle w:val="ListParagraph"/>
        <w:numPr>
          <w:ilvl w:val="0"/>
          <w:numId w:val="14"/>
        </w:numPr>
      </w:pPr>
      <w:r>
        <w:t xml:space="preserve">Serving on the refrigeration committee is a great way to work with some of the top people of </w:t>
      </w:r>
      <w:proofErr w:type="gramStart"/>
      <w:r>
        <w:t>the</w:t>
      </w:r>
      <w:proofErr w:type="gramEnd"/>
      <w:r>
        <w:t xml:space="preserve"> refrigeration field. The exchange of information and the networking is very beneficial.</w:t>
      </w:r>
    </w:p>
    <w:sectPr w:rsidR="00AD7AD4" w:rsidRPr="00F241E4" w:rsidSect="00F547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3A" w:rsidRDefault="00391F3A" w:rsidP="00F54704">
      <w:pPr>
        <w:spacing w:after="0" w:line="240" w:lineRule="auto"/>
      </w:pPr>
      <w:r>
        <w:separator/>
      </w:r>
    </w:p>
  </w:endnote>
  <w:endnote w:type="continuationSeparator" w:id="0">
    <w:p w:rsidR="00391F3A" w:rsidRDefault="00391F3A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F547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180340</wp:posOffset>
              </wp:positionV>
              <wp:extent cx="7743825" cy="3333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  <a:solidFill>
                        <a:srgbClr val="8EC6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E3CB8F" id="Rectangle 2" o:spid="_x0000_s1026" style="position:absolute;margin-left:-71.25pt;margin-top:14.2pt;width:6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" fillcolor="#8ec64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3A" w:rsidRDefault="00391F3A" w:rsidP="00F54704">
      <w:pPr>
        <w:spacing w:after="0" w:line="240" w:lineRule="auto"/>
      </w:pPr>
      <w:r>
        <w:separator/>
      </w:r>
    </w:p>
  </w:footnote>
  <w:footnote w:type="continuationSeparator" w:id="0">
    <w:p w:rsidR="00391F3A" w:rsidRDefault="00391F3A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BF146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4109720"/>
          <wp:effectExtent l="0" t="0" r="3810" b="5080"/>
          <wp:wrapNone/>
          <wp:docPr id="7" name="Picture 7" descr="ASHRA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HRAE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10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262006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A938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5168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CEA"/>
    <w:multiLevelType w:val="hybridMultilevel"/>
    <w:tmpl w:val="F44EE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E2394"/>
    <w:multiLevelType w:val="hybridMultilevel"/>
    <w:tmpl w:val="272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3F8"/>
    <w:multiLevelType w:val="hybridMultilevel"/>
    <w:tmpl w:val="D2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162"/>
    <w:multiLevelType w:val="hybridMultilevel"/>
    <w:tmpl w:val="B188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22A"/>
    <w:multiLevelType w:val="hybridMultilevel"/>
    <w:tmpl w:val="97B4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02D1"/>
    <w:multiLevelType w:val="hybridMultilevel"/>
    <w:tmpl w:val="89E80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F148E"/>
    <w:multiLevelType w:val="hybridMultilevel"/>
    <w:tmpl w:val="7BA27B38"/>
    <w:lvl w:ilvl="0" w:tplc="462A2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C6B44"/>
    <w:multiLevelType w:val="hybridMultilevel"/>
    <w:tmpl w:val="A824E840"/>
    <w:lvl w:ilvl="0" w:tplc="99A8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5F67"/>
    <w:multiLevelType w:val="hybridMultilevel"/>
    <w:tmpl w:val="705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65092"/>
    <w:multiLevelType w:val="hybridMultilevel"/>
    <w:tmpl w:val="A6EE7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D1383"/>
    <w:multiLevelType w:val="hybridMultilevel"/>
    <w:tmpl w:val="CDB0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4868"/>
    <w:multiLevelType w:val="hybridMultilevel"/>
    <w:tmpl w:val="E6A60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89C"/>
    <w:multiLevelType w:val="hybridMultilevel"/>
    <w:tmpl w:val="13D40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661E1"/>
    <w:multiLevelType w:val="hybridMultilevel"/>
    <w:tmpl w:val="A8484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074CD"/>
    <w:multiLevelType w:val="hybridMultilevel"/>
    <w:tmpl w:val="6B5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29A8"/>
    <w:multiLevelType w:val="hybridMultilevel"/>
    <w:tmpl w:val="AA08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FCE"/>
    <w:multiLevelType w:val="hybridMultilevel"/>
    <w:tmpl w:val="8AB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267B0"/>
    <w:multiLevelType w:val="hybridMultilevel"/>
    <w:tmpl w:val="C08C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34E3"/>
    <w:multiLevelType w:val="hybridMultilevel"/>
    <w:tmpl w:val="53C2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7"/>
  </w:num>
  <w:num w:numId="15">
    <w:abstractNumId w:val="15"/>
  </w:num>
  <w:num w:numId="16">
    <w:abstractNumId w:val="4"/>
  </w:num>
  <w:num w:numId="17">
    <w:abstractNumId w:val="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A"/>
    <w:rsid w:val="000F3319"/>
    <w:rsid w:val="002C616E"/>
    <w:rsid w:val="00391F3A"/>
    <w:rsid w:val="003C7412"/>
    <w:rsid w:val="005D51A4"/>
    <w:rsid w:val="00A93851"/>
    <w:rsid w:val="00AD7AD4"/>
    <w:rsid w:val="00B72F92"/>
    <w:rsid w:val="00BF1468"/>
    <w:rsid w:val="00CD4D78"/>
    <w:rsid w:val="00F241E4"/>
    <w:rsid w:val="00F42430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1E8CC2-E64E-4C86-9AA6-A799422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A4"/>
    <w:rPr>
      <w:color w:val="00549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Marketing\Templates\ASHRAE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D10F-3A37-4680-A19E-1B6A9BC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ASHRAE Word Document Template.dotx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Erin</dc:creator>
  <cp:keywords/>
  <dc:description/>
  <cp:lastModifiedBy>McGee, Erin</cp:lastModifiedBy>
  <cp:revision>2</cp:revision>
  <dcterms:created xsi:type="dcterms:W3CDTF">2018-06-26T14:45:00Z</dcterms:created>
  <dcterms:modified xsi:type="dcterms:W3CDTF">2018-06-26T14:45:00Z</dcterms:modified>
</cp:coreProperties>
</file>