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39" w:rsidRPr="00C26B8A" w:rsidRDefault="00102DF0" w:rsidP="00FF3EF3">
      <w:pPr>
        <w:jc w:val="both"/>
        <w:rPr>
          <w:rFonts w:ascii="Times New Roman" w:hAnsi="Times New Roman" w:cs="Times New Roman"/>
          <w:b/>
          <w:bCs/>
          <w:sz w:val="28"/>
          <w:szCs w:val="28"/>
        </w:rPr>
      </w:pPr>
      <w:bookmarkStart w:id="0" w:name="_GoBack"/>
      <w:bookmarkEnd w:id="0"/>
      <w:r w:rsidRPr="00FF3EF3">
        <w:rPr>
          <w:rFonts w:ascii="Times New Roman" w:hAnsi="Times New Roman" w:cs="Times New Roman"/>
          <w:b/>
          <w:bCs/>
        </w:rPr>
        <w:t>AN ORDINANCE</w:t>
      </w:r>
      <w:r w:rsidR="00060A47" w:rsidRPr="00FF3EF3">
        <w:rPr>
          <w:rFonts w:ascii="Times New Roman" w:hAnsi="Times New Roman" w:cs="Times New Roman"/>
          <w:b/>
          <w:bCs/>
        </w:rPr>
        <w:t xml:space="preserve"> </w:t>
      </w:r>
      <w:r w:rsidR="002762DA" w:rsidRPr="00FF3EF3">
        <w:rPr>
          <w:rFonts w:ascii="Times New Roman" w:hAnsi="Times New Roman" w:cs="Times New Roman"/>
          <w:b/>
          <w:bCs/>
        </w:rPr>
        <w:t>BY</w:t>
      </w:r>
      <w:r w:rsidR="00C26B8A">
        <w:rPr>
          <w:rFonts w:ascii="Times New Roman" w:hAnsi="Times New Roman" w:cs="Times New Roman"/>
          <w:b/>
          <w:bCs/>
        </w:rPr>
        <w:tab/>
      </w:r>
      <w:r w:rsidR="00C26B8A">
        <w:rPr>
          <w:rFonts w:ascii="Times New Roman" w:hAnsi="Times New Roman" w:cs="Times New Roman"/>
          <w:b/>
          <w:bCs/>
        </w:rPr>
        <w:tab/>
      </w:r>
      <w:r w:rsidR="00C26B8A">
        <w:rPr>
          <w:rFonts w:ascii="Times New Roman" w:hAnsi="Times New Roman" w:cs="Times New Roman"/>
          <w:b/>
          <w:bCs/>
        </w:rPr>
        <w:tab/>
      </w:r>
      <w:r w:rsidR="00C26B8A">
        <w:rPr>
          <w:rFonts w:ascii="Times New Roman" w:hAnsi="Times New Roman" w:cs="Times New Roman"/>
          <w:b/>
          <w:bCs/>
        </w:rPr>
        <w:tab/>
      </w:r>
      <w:r w:rsidR="00C26B8A">
        <w:rPr>
          <w:rFonts w:ascii="Times New Roman" w:hAnsi="Times New Roman" w:cs="Times New Roman"/>
          <w:b/>
          <w:bCs/>
        </w:rPr>
        <w:tab/>
      </w:r>
      <w:r w:rsidR="00C26B8A">
        <w:rPr>
          <w:rFonts w:ascii="Times New Roman" w:hAnsi="Times New Roman" w:cs="Times New Roman"/>
          <w:b/>
          <w:bCs/>
        </w:rPr>
        <w:tab/>
      </w:r>
      <w:r w:rsidR="00C26B8A">
        <w:rPr>
          <w:rFonts w:ascii="Times New Roman" w:hAnsi="Times New Roman" w:cs="Times New Roman"/>
          <w:b/>
          <w:bCs/>
        </w:rPr>
        <w:tab/>
        <w:t xml:space="preserve">   </w:t>
      </w:r>
      <w:r w:rsidR="00C26B8A" w:rsidRPr="00C26B8A">
        <w:rPr>
          <w:rFonts w:ascii="Times New Roman" w:hAnsi="Times New Roman" w:cs="Times New Roman"/>
          <w:b/>
          <w:bCs/>
          <w:sz w:val="28"/>
          <w:szCs w:val="28"/>
        </w:rPr>
        <w:t>15-O-1101</w:t>
      </w:r>
    </w:p>
    <w:p w:rsidR="00C42D39" w:rsidRDefault="00FF3EF3" w:rsidP="00FF3EF3">
      <w:pPr>
        <w:jc w:val="both"/>
        <w:rPr>
          <w:rFonts w:ascii="Times New Roman" w:hAnsi="Times New Roman" w:cs="Times New Roman"/>
          <w:b/>
          <w:bCs/>
        </w:rPr>
      </w:pPr>
      <w:r>
        <w:rPr>
          <w:rFonts w:ascii="Times New Roman" w:hAnsi="Times New Roman" w:cs="Times New Roman"/>
          <w:b/>
          <w:bCs/>
        </w:rPr>
        <w:t>COUNCIL</w:t>
      </w:r>
      <w:r w:rsidR="002762DA" w:rsidRPr="00FF3EF3">
        <w:rPr>
          <w:rFonts w:ascii="Times New Roman" w:hAnsi="Times New Roman" w:cs="Times New Roman"/>
          <w:b/>
          <w:bCs/>
        </w:rPr>
        <w:t>MEMBER C.T. MARTIN</w:t>
      </w:r>
    </w:p>
    <w:p w:rsidR="00FF3EF3" w:rsidRDefault="00FF3EF3" w:rsidP="00FF3EF3">
      <w:pPr>
        <w:jc w:val="both"/>
        <w:rPr>
          <w:rFonts w:ascii="Times New Roman" w:hAnsi="Times New Roman" w:cs="Times New Roman"/>
          <w:b/>
          <w:bCs/>
        </w:rPr>
      </w:pPr>
      <w:r>
        <w:rPr>
          <w:rFonts w:ascii="Times New Roman" w:hAnsi="Times New Roman" w:cs="Times New Roman"/>
          <w:b/>
          <w:bCs/>
        </w:rPr>
        <w:t>AS SUBSTITUTED BY</w:t>
      </w:r>
    </w:p>
    <w:p w:rsidR="00FF3EF3" w:rsidRPr="00FF3EF3" w:rsidRDefault="00C61584" w:rsidP="00FF3EF3">
      <w:pPr>
        <w:jc w:val="both"/>
        <w:rPr>
          <w:rFonts w:ascii="Times New Roman" w:hAnsi="Times New Roman" w:cs="Times New Roman"/>
          <w:b/>
          <w:bCs/>
        </w:rPr>
      </w:pPr>
      <w:r>
        <w:rPr>
          <w:rFonts w:ascii="Times New Roman" w:hAnsi="Times New Roman" w:cs="Times New Roman"/>
          <w:b/>
          <w:bCs/>
        </w:rPr>
        <w:t>ATLANTA CITY COUNCIL</w:t>
      </w:r>
    </w:p>
    <w:p w:rsidR="00C42D39" w:rsidRPr="00FF3EF3" w:rsidRDefault="00C42D39" w:rsidP="00FF3EF3">
      <w:pPr>
        <w:jc w:val="both"/>
        <w:rPr>
          <w:rFonts w:ascii="Times New Roman" w:hAnsi="Times New Roman" w:cs="Times New Roman"/>
          <w:b/>
          <w:bCs/>
        </w:rPr>
      </w:pPr>
    </w:p>
    <w:p w:rsidR="00102DF0" w:rsidRPr="00FF3EF3" w:rsidRDefault="00C42D39" w:rsidP="00FF3EF3">
      <w:pPr>
        <w:jc w:val="both"/>
        <w:rPr>
          <w:rFonts w:ascii="Times New Roman" w:hAnsi="Times New Roman" w:cs="Times New Roman"/>
          <w:b/>
          <w:bCs/>
        </w:rPr>
      </w:pPr>
      <w:r w:rsidRPr="00FF3EF3">
        <w:rPr>
          <w:rFonts w:ascii="Times New Roman" w:hAnsi="Times New Roman" w:cs="Times New Roman"/>
          <w:b/>
          <w:bCs/>
        </w:rPr>
        <w:t>AN ORDINANCE</w:t>
      </w:r>
      <w:r w:rsidR="002762DA" w:rsidRPr="00FF3EF3">
        <w:rPr>
          <w:rFonts w:ascii="Times New Roman" w:hAnsi="Times New Roman" w:cs="Times New Roman"/>
          <w:b/>
          <w:bCs/>
        </w:rPr>
        <w:t xml:space="preserve"> </w:t>
      </w:r>
      <w:r w:rsidR="00060A47" w:rsidRPr="00FF3EF3">
        <w:rPr>
          <w:rFonts w:ascii="Times New Roman" w:hAnsi="Times New Roman" w:cs="Times New Roman"/>
          <w:b/>
          <w:bCs/>
        </w:rPr>
        <w:t xml:space="preserve">TO AMEND VARIOUS </w:t>
      </w:r>
      <w:r w:rsidR="00F552D9" w:rsidRPr="00FF3EF3">
        <w:rPr>
          <w:rFonts w:ascii="Times New Roman" w:hAnsi="Times New Roman" w:cs="Times New Roman"/>
          <w:b/>
          <w:bCs/>
        </w:rPr>
        <w:t>ARTICLES</w:t>
      </w:r>
      <w:r w:rsidR="00060A47" w:rsidRPr="00FF3EF3">
        <w:rPr>
          <w:rFonts w:ascii="Times New Roman" w:hAnsi="Times New Roman" w:cs="Times New Roman"/>
          <w:b/>
          <w:bCs/>
        </w:rPr>
        <w:t xml:space="preserve"> OF </w:t>
      </w:r>
      <w:r w:rsidR="00F552D9" w:rsidRPr="00FF3EF3">
        <w:rPr>
          <w:rFonts w:ascii="Times New Roman" w:hAnsi="Times New Roman" w:cs="Times New Roman"/>
          <w:b/>
          <w:bCs/>
        </w:rPr>
        <w:t xml:space="preserve">CHAPTER 2 OF </w:t>
      </w:r>
      <w:r w:rsidR="00EC1DAE" w:rsidRPr="00FF3EF3">
        <w:rPr>
          <w:rFonts w:ascii="Times New Roman" w:hAnsi="Times New Roman" w:cs="Times New Roman"/>
          <w:b/>
          <w:bCs/>
        </w:rPr>
        <w:t>PART 8</w:t>
      </w:r>
      <w:r w:rsidR="0003391A" w:rsidRPr="00FF3EF3">
        <w:rPr>
          <w:rFonts w:ascii="Times New Roman" w:hAnsi="Times New Roman" w:cs="Times New Roman"/>
          <w:b/>
          <w:bCs/>
        </w:rPr>
        <w:t>,</w:t>
      </w:r>
      <w:r w:rsidR="00DD75D4" w:rsidRPr="00FF3EF3">
        <w:rPr>
          <w:rFonts w:ascii="Times New Roman" w:hAnsi="Times New Roman" w:cs="Times New Roman"/>
          <w:b/>
          <w:bCs/>
        </w:rPr>
        <w:t xml:space="preserve"> COMMUNITY AND HUMAN DEVELOPMENT</w:t>
      </w:r>
      <w:r w:rsidR="0003391A" w:rsidRPr="00FF3EF3">
        <w:rPr>
          <w:rFonts w:ascii="Times New Roman" w:hAnsi="Times New Roman" w:cs="Times New Roman"/>
          <w:b/>
          <w:bCs/>
        </w:rPr>
        <w:t>,</w:t>
      </w:r>
      <w:r w:rsidR="0092032F" w:rsidRPr="00FF3EF3">
        <w:rPr>
          <w:rFonts w:ascii="Times New Roman" w:hAnsi="Times New Roman" w:cs="Times New Roman"/>
          <w:b/>
          <w:bCs/>
        </w:rPr>
        <w:t xml:space="preserve"> OF THE </w:t>
      </w:r>
      <w:r w:rsidR="00EC1DAE" w:rsidRPr="00FF3EF3">
        <w:rPr>
          <w:rFonts w:ascii="Times New Roman" w:hAnsi="Times New Roman" w:cs="Times New Roman"/>
          <w:b/>
          <w:bCs/>
        </w:rPr>
        <w:t>LAND DEVELOPMENT CODE</w:t>
      </w:r>
      <w:r w:rsidR="00F552D9" w:rsidRPr="00FF3EF3">
        <w:rPr>
          <w:rFonts w:ascii="Times New Roman" w:hAnsi="Times New Roman" w:cs="Times New Roman"/>
          <w:b/>
          <w:bCs/>
        </w:rPr>
        <w:t>, PART III OF THE ATLANTA CITY CODE</w:t>
      </w:r>
      <w:r w:rsidR="006D7E55" w:rsidRPr="00FF3EF3">
        <w:rPr>
          <w:rFonts w:ascii="Times New Roman" w:hAnsi="Times New Roman" w:cs="Times New Roman"/>
          <w:b/>
          <w:bCs/>
        </w:rPr>
        <w:t xml:space="preserve"> </w:t>
      </w:r>
      <w:r w:rsidR="00102DF0" w:rsidRPr="00FF3EF3">
        <w:rPr>
          <w:rFonts w:ascii="Times New Roman" w:hAnsi="Times New Roman" w:cs="Times New Roman"/>
          <w:b/>
          <w:bCs/>
        </w:rPr>
        <w:t>FOR THE PURPOSE OF INCREASING THE EFFICIENT USE OF ENERGY WITHIN THE COMMERCIAL SECTOR THROUGH THE REQUIREMENT OF ENERGY BENCHMARKING, BENCHMARKING DISCLOSURE, FACILITY RETROCOMMISSIONING,</w:t>
      </w:r>
      <w:r w:rsidR="000708DF" w:rsidRPr="00FF3EF3">
        <w:rPr>
          <w:rFonts w:ascii="Times New Roman" w:hAnsi="Times New Roman" w:cs="Times New Roman"/>
          <w:b/>
          <w:bCs/>
        </w:rPr>
        <w:t xml:space="preserve"> AND</w:t>
      </w:r>
      <w:r w:rsidR="002D1B2B" w:rsidRPr="00FF3EF3">
        <w:rPr>
          <w:rFonts w:ascii="Times New Roman" w:hAnsi="Times New Roman" w:cs="Times New Roman"/>
          <w:b/>
          <w:bCs/>
        </w:rPr>
        <w:t xml:space="preserve"> FACIL</w:t>
      </w:r>
      <w:r w:rsidR="00102DF0" w:rsidRPr="00FF3EF3">
        <w:rPr>
          <w:rFonts w:ascii="Times New Roman" w:hAnsi="Times New Roman" w:cs="Times New Roman"/>
          <w:b/>
          <w:bCs/>
        </w:rPr>
        <w:t>I</w:t>
      </w:r>
      <w:r w:rsidR="002D1B2B" w:rsidRPr="00FF3EF3">
        <w:rPr>
          <w:rFonts w:ascii="Times New Roman" w:hAnsi="Times New Roman" w:cs="Times New Roman"/>
          <w:b/>
          <w:bCs/>
        </w:rPr>
        <w:t>T</w:t>
      </w:r>
      <w:r w:rsidR="00102DF0" w:rsidRPr="00FF3EF3">
        <w:rPr>
          <w:rFonts w:ascii="Times New Roman" w:hAnsi="Times New Roman" w:cs="Times New Roman"/>
          <w:b/>
          <w:bCs/>
        </w:rPr>
        <w:t xml:space="preserve">Y </w:t>
      </w:r>
      <w:r w:rsidR="000708DF" w:rsidRPr="00FF3EF3">
        <w:rPr>
          <w:rFonts w:ascii="Times New Roman" w:hAnsi="Times New Roman" w:cs="Times New Roman"/>
          <w:b/>
          <w:bCs/>
        </w:rPr>
        <w:t xml:space="preserve">ENERGY </w:t>
      </w:r>
      <w:r w:rsidR="00102DF0" w:rsidRPr="00FF3EF3">
        <w:rPr>
          <w:rFonts w:ascii="Times New Roman" w:hAnsi="Times New Roman" w:cs="Times New Roman"/>
          <w:b/>
          <w:bCs/>
        </w:rPr>
        <w:t xml:space="preserve">AUDITS OF </w:t>
      </w:r>
      <w:r w:rsidR="00F552D9" w:rsidRPr="00FF3EF3">
        <w:rPr>
          <w:rFonts w:ascii="Times New Roman" w:hAnsi="Times New Roman" w:cs="Times New Roman"/>
          <w:b/>
          <w:bCs/>
        </w:rPr>
        <w:t>BUI</w:t>
      </w:r>
      <w:r w:rsidR="00DE193E" w:rsidRPr="00FF3EF3">
        <w:rPr>
          <w:rFonts w:ascii="Times New Roman" w:hAnsi="Times New Roman" w:cs="Times New Roman"/>
          <w:b/>
          <w:bCs/>
        </w:rPr>
        <w:t>L</w:t>
      </w:r>
      <w:r w:rsidR="00F552D9" w:rsidRPr="00FF3EF3">
        <w:rPr>
          <w:rFonts w:ascii="Times New Roman" w:hAnsi="Times New Roman" w:cs="Times New Roman"/>
          <w:b/>
          <w:bCs/>
        </w:rPr>
        <w:t>D</w:t>
      </w:r>
      <w:r w:rsidR="00DE193E" w:rsidRPr="00FF3EF3">
        <w:rPr>
          <w:rFonts w:ascii="Times New Roman" w:hAnsi="Times New Roman" w:cs="Times New Roman"/>
          <w:b/>
          <w:bCs/>
        </w:rPr>
        <w:t xml:space="preserve">INGS IN THE </w:t>
      </w:r>
      <w:r w:rsidR="00F552D9" w:rsidRPr="00FF3EF3">
        <w:rPr>
          <w:rFonts w:ascii="Times New Roman" w:hAnsi="Times New Roman" w:cs="Times New Roman"/>
          <w:b/>
          <w:bCs/>
        </w:rPr>
        <w:t>CITY OF ATLANTA;</w:t>
      </w:r>
      <w:r w:rsidR="00102DF0" w:rsidRPr="00FF3EF3">
        <w:rPr>
          <w:rFonts w:ascii="Times New Roman" w:hAnsi="Times New Roman" w:cs="Times New Roman"/>
          <w:b/>
          <w:bCs/>
        </w:rPr>
        <w:t xml:space="preserve"> AND FOR OTHER PURPOSES.</w:t>
      </w:r>
    </w:p>
    <w:p w:rsidR="00102DF0" w:rsidRPr="00FF3EF3" w:rsidRDefault="00102DF0" w:rsidP="00FF3EF3">
      <w:pPr>
        <w:jc w:val="both"/>
        <w:rPr>
          <w:rFonts w:ascii="Times New Roman" w:hAnsi="Times New Roman" w:cs="Times New Roman"/>
          <w:bCs/>
        </w:rPr>
      </w:pPr>
    </w:p>
    <w:p w:rsidR="0092032F" w:rsidRPr="00FF3EF3" w:rsidRDefault="0092032F" w:rsidP="00FF3EF3">
      <w:pPr>
        <w:jc w:val="both"/>
        <w:rPr>
          <w:rFonts w:ascii="Times New Roman" w:hAnsi="Times New Roman" w:cs="Times New Roman"/>
        </w:rPr>
      </w:pPr>
      <w:r w:rsidRPr="00FF3EF3">
        <w:rPr>
          <w:rFonts w:ascii="Times New Roman" w:hAnsi="Times New Roman" w:cs="Times New Roman"/>
          <w:b/>
        </w:rPr>
        <w:t xml:space="preserve">WHEREAS, </w:t>
      </w:r>
      <w:r w:rsidR="00DE193E" w:rsidRPr="00FF3EF3">
        <w:rPr>
          <w:rFonts w:ascii="Times New Roman" w:hAnsi="Times New Roman" w:cs="Times New Roman"/>
        </w:rPr>
        <w:t xml:space="preserve">Part </w:t>
      </w:r>
      <w:r w:rsidR="007E79A7" w:rsidRPr="00FF3EF3">
        <w:rPr>
          <w:rFonts w:ascii="Times New Roman" w:hAnsi="Times New Roman" w:cs="Times New Roman"/>
        </w:rPr>
        <w:t xml:space="preserve">III, </w:t>
      </w:r>
      <w:r w:rsidR="0003391A" w:rsidRPr="00FF3EF3">
        <w:rPr>
          <w:rFonts w:ascii="Times New Roman" w:hAnsi="Times New Roman" w:cs="Times New Roman"/>
        </w:rPr>
        <w:t>Part 8, Community and Human Development, Chapter 2, Building Regulations</w:t>
      </w:r>
      <w:r w:rsidRPr="00FF3EF3">
        <w:rPr>
          <w:rFonts w:ascii="Times New Roman" w:hAnsi="Times New Roman" w:cs="Times New Roman"/>
        </w:rPr>
        <w:t>,</w:t>
      </w:r>
      <w:r w:rsidR="00DE193E" w:rsidRPr="00FF3EF3">
        <w:rPr>
          <w:rFonts w:ascii="Times New Roman" w:hAnsi="Times New Roman" w:cs="Times New Roman"/>
        </w:rPr>
        <w:t xml:space="preserve"> </w:t>
      </w:r>
      <w:r w:rsidRPr="00FF3EF3">
        <w:rPr>
          <w:rFonts w:ascii="Times New Roman" w:hAnsi="Times New Roman" w:cs="Times New Roman"/>
        </w:rPr>
        <w:t>of the City of Atlanta Code of Ordinances set</w:t>
      </w:r>
      <w:r w:rsidR="007E79A7" w:rsidRPr="00FF3EF3">
        <w:rPr>
          <w:rFonts w:ascii="Times New Roman" w:hAnsi="Times New Roman" w:cs="Times New Roman"/>
        </w:rPr>
        <w:t>s</w:t>
      </w:r>
      <w:r w:rsidRPr="00FF3EF3">
        <w:rPr>
          <w:rFonts w:ascii="Times New Roman" w:hAnsi="Times New Roman" w:cs="Times New Roman"/>
        </w:rPr>
        <w:t xml:space="preserve"> out the</w:t>
      </w:r>
      <w:r w:rsidR="00F12236" w:rsidRPr="00FF3EF3">
        <w:rPr>
          <w:rFonts w:ascii="Times New Roman" w:hAnsi="Times New Roman" w:cs="Times New Roman"/>
        </w:rPr>
        <w:t xml:space="preserve"> requirements and procedures for the maintenance and use of buildings, electrical systems, heating and air conditioning systems, </w:t>
      </w:r>
      <w:r w:rsidR="006D7E55" w:rsidRPr="00FF3EF3">
        <w:rPr>
          <w:rFonts w:ascii="Times New Roman" w:hAnsi="Times New Roman" w:cs="Times New Roman"/>
        </w:rPr>
        <w:t xml:space="preserve">plumbing, </w:t>
      </w:r>
      <w:r w:rsidR="00F12236" w:rsidRPr="00FF3EF3">
        <w:rPr>
          <w:rFonts w:ascii="Times New Roman" w:hAnsi="Times New Roman" w:cs="Times New Roman"/>
        </w:rPr>
        <w:t>and multi</w:t>
      </w:r>
      <w:r w:rsidR="00DE193E" w:rsidRPr="00FF3EF3">
        <w:rPr>
          <w:rFonts w:ascii="Times New Roman" w:hAnsi="Times New Roman" w:cs="Times New Roman"/>
        </w:rPr>
        <w:t>family buildings</w:t>
      </w:r>
      <w:r w:rsidR="00F12236" w:rsidRPr="00FF3EF3">
        <w:rPr>
          <w:rFonts w:ascii="Times New Roman" w:hAnsi="Times New Roman" w:cs="Times New Roman"/>
        </w:rPr>
        <w:t>; and</w:t>
      </w:r>
    </w:p>
    <w:p w:rsidR="0092032F" w:rsidRPr="00FF3EF3" w:rsidRDefault="0092032F" w:rsidP="00FF3EF3">
      <w:pPr>
        <w:jc w:val="both"/>
        <w:rPr>
          <w:rFonts w:ascii="Times New Roman" w:hAnsi="Times New Roman" w:cs="Times New Roman"/>
          <w:b/>
        </w:rPr>
      </w:pPr>
    </w:p>
    <w:p w:rsidR="00102DF0" w:rsidRPr="00FF3EF3" w:rsidRDefault="00102DF0" w:rsidP="00FF3EF3">
      <w:pPr>
        <w:jc w:val="both"/>
        <w:rPr>
          <w:rFonts w:ascii="Times New Roman" w:hAnsi="Times New Roman" w:cs="Times New Roman"/>
          <w:b/>
        </w:rPr>
      </w:pPr>
      <w:r w:rsidRPr="00FF3EF3">
        <w:rPr>
          <w:rFonts w:ascii="Times New Roman" w:hAnsi="Times New Roman" w:cs="Times New Roman"/>
          <w:b/>
        </w:rPr>
        <w:t>WHEREAS</w:t>
      </w:r>
      <w:r w:rsidRPr="00FF3EF3">
        <w:rPr>
          <w:rFonts w:ascii="Times New Roman" w:hAnsi="Times New Roman" w:cs="Times New Roman"/>
        </w:rPr>
        <w:t>, Resolution 13-R-3417, adopted by the Atlanta City Council on August 19, 2013, and approved per City Charter Section 2-403 on August 28, 2013, authorized the Mayor or his designee, on behalf of the City of Atlanta (“City”), to apply for and accept a grant from the City Energy Project (“CEP”) Initiative and to execute any required agreements for participation and implementation thereunder; and</w:t>
      </w:r>
    </w:p>
    <w:p w:rsidR="00102DF0" w:rsidRPr="00FF3EF3" w:rsidRDefault="00102DF0" w:rsidP="00FF3EF3">
      <w:pPr>
        <w:jc w:val="both"/>
        <w:rPr>
          <w:rFonts w:ascii="Times New Roman" w:hAnsi="Times New Roman" w:cs="Times New Roman"/>
          <w:bCs/>
        </w:rPr>
      </w:pPr>
    </w:p>
    <w:p w:rsidR="003A53AB" w:rsidRPr="00FF3EF3" w:rsidRDefault="003A53AB" w:rsidP="00FF3EF3">
      <w:pPr>
        <w:jc w:val="both"/>
        <w:rPr>
          <w:rFonts w:ascii="Times New Roman" w:hAnsi="Times New Roman" w:cs="Times New Roman"/>
        </w:rPr>
      </w:pPr>
      <w:r w:rsidRPr="00FF3EF3">
        <w:rPr>
          <w:rFonts w:ascii="Times New Roman" w:hAnsi="Times New Roman" w:cs="Times New Roman"/>
          <w:b/>
        </w:rPr>
        <w:t>WHEREAS,</w:t>
      </w:r>
      <w:r w:rsidRPr="00FF3EF3">
        <w:rPr>
          <w:rFonts w:ascii="Times New Roman" w:hAnsi="Times New Roman" w:cs="Times New Roman"/>
        </w:rPr>
        <w:t xml:space="preserve"> the City seeks to embed sustainability best practices into Atlanta city government and across the community; and</w:t>
      </w:r>
    </w:p>
    <w:p w:rsidR="003A53AB" w:rsidRPr="00FF3EF3" w:rsidRDefault="003A53AB" w:rsidP="00FF3EF3">
      <w:pPr>
        <w:jc w:val="both"/>
        <w:rPr>
          <w:rFonts w:ascii="Times New Roman" w:hAnsi="Times New Roman" w:cs="Times New Roman"/>
        </w:rPr>
      </w:pPr>
    </w:p>
    <w:p w:rsidR="003A53AB" w:rsidRPr="00FF3EF3" w:rsidRDefault="003A53AB" w:rsidP="00FF3EF3">
      <w:pPr>
        <w:jc w:val="both"/>
        <w:rPr>
          <w:rFonts w:ascii="Times New Roman" w:hAnsi="Times New Roman" w:cs="Times New Roman"/>
        </w:rPr>
      </w:pPr>
      <w:r w:rsidRPr="00FF3EF3">
        <w:rPr>
          <w:rFonts w:ascii="Times New Roman" w:hAnsi="Times New Roman" w:cs="Times New Roman"/>
          <w:b/>
        </w:rPr>
        <w:t>WHEREAS,</w:t>
      </w:r>
      <w:r w:rsidRPr="00FF3EF3">
        <w:rPr>
          <w:rFonts w:ascii="Times New Roman" w:hAnsi="Times New Roman" w:cs="Times New Roman"/>
        </w:rPr>
        <w:t xml:space="preserve"> the City of Atlanta has been recognized by the U.S. Department of Energy and the White House as a leading southeast city for voluntary energy efficiency pilots and programs; and</w:t>
      </w:r>
    </w:p>
    <w:p w:rsidR="003A53AB" w:rsidRPr="00FF3EF3" w:rsidRDefault="003A53AB" w:rsidP="00FF3EF3">
      <w:pPr>
        <w:jc w:val="both"/>
        <w:rPr>
          <w:rFonts w:ascii="Times New Roman" w:hAnsi="Times New Roman" w:cs="Times New Roman"/>
          <w:b/>
        </w:rPr>
      </w:pPr>
    </w:p>
    <w:p w:rsidR="00102DF0" w:rsidRPr="00FF3EF3" w:rsidRDefault="00102DF0" w:rsidP="00FF3EF3">
      <w:pPr>
        <w:jc w:val="both"/>
        <w:rPr>
          <w:rFonts w:ascii="Times New Roman" w:hAnsi="Times New Roman" w:cs="Times New Roman"/>
        </w:rPr>
      </w:pPr>
      <w:r w:rsidRPr="00FF3EF3">
        <w:rPr>
          <w:rFonts w:ascii="Times New Roman" w:hAnsi="Times New Roman" w:cs="Times New Roman"/>
          <w:b/>
        </w:rPr>
        <w:t>WHEREAS,</w:t>
      </w:r>
      <w:r w:rsidRPr="00FF3EF3">
        <w:rPr>
          <w:rFonts w:ascii="Times New Roman" w:hAnsi="Times New Roman" w:cs="Times New Roman"/>
        </w:rPr>
        <w:t xml:space="preserve"> the City was selected as a participating city in and recipient of grant funds under the CEP Initiative, which is a joint project of the Natural Resources Defense Council, Inc., and the Institute for Market Transformation to improve the energy efficiency of existing buildings in ten major U.S. cities, funded jointly by Bloomberg Philanthropies, Doris Duke Charitable Foundation, and the Kresge Foundation; and</w:t>
      </w:r>
    </w:p>
    <w:p w:rsidR="00102DF0" w:rsidRPr="00FF3EF3" w:rsidRDefault="00102DF0" w:rsidP="00FF3EF3">
      <w:pPr>
        <w:jc w:val="both"/>
        <w:rPr>
          <w:rFonts w:ascii="Times New Roman" w:hAnsi="Times New Roman" w:cs="Times New Roman"/>
        </w:rPr>
      </w:pPr>
    </w:p>
    <w:p w:rsidR="00102DF0" w:rsidRPr="00FF3EF3" w:rsidRDefault="00102DF0" w:rsidP="00FF3EF3">
      <w:pPr>
        <w:jc w:val="both"/>
        <w:rPr>
          <w:rFonts w:ascii="Times New Roman" w:hAnsi="Times New Roman" w:cs="Times New Roman"/>
          <w:bCs/>
        </w:rPr>
      </w:pPr>
      <w:r w:rsidRPr="00FF3EF3">
        <w:rPr>
          <w:rFonts w:ascii="Times New Roman" w:hAnsi="Times New Roman" w:cs="Times New Roman"/>
          <w:b/>
          <w:bCs/>
        </w:rPr>
        <w:t xml:space="preserve">WHEREAS, </w:t>
      </w:r>
      <w:r w:rsidRPr="00FF3EF3">
        <w:rPr>
          <w:rFonts w:ascii="Times New Roman" w:hAnsi="Times New Roman" w:cs="Times New Roman"/>
          <w:bCs/>
        </w:rPr>
        <w:t>the City is recognized as a key national actor in energy efficiency by its inclusion as one of ten cities for the City Energy Project; and</w:t>
      </w:r>
    </w:p>
    <w:p w:rsidR="00102DF0" w:rsidRPr="00FF3EF3" w:rsidRDefault="00102DF0" w:rsidP="00FF3EF3">
      <w:pPr>
        <w:jc w:val="both"/>
        <w:rPr>
          <w:rFonts w:ascii="Times New Roman" w:hAnsi="Times New Roman" w:cs="Times New Roman"/>
        </w:rPr>
      </w:pPr>
    </w:p>
    <w:p w:rsidR="00102DF0" w:rsidRPr="00FF3EF3" w:rsidRDefault="00102DF0" w:rsidP="00FF3EF3">
      <w:pPr>
        <w:jc w:val="both"/>
        <w:rPr>
          <w:rFonts w:ascii="Times New Roman" w:hAnsi="Times New Roman" w:cs="Times New Roman"/>
        </w:rPr>
      </w:pPr>
      <w:r w:rsidRPr="00FF3EF3">
        <w:rPr>
          <w:rFonts w:ascii="Times New Roman" w:hAnsi="Times New Roman" w:cs="Times New Roman"/>
          <w:b/>
        </w:rPr>
        <w:t xml:space="preserve">WHEREAS, </w:t>
      </w:r>
      <w:r w:rsidRPr="00FF3EF3">
        <w:rPr>
          <w:rFonts w:ascii="Times New Roman" w:hAnsi="Times New Roman" w:cs="Times New Roman"/>
        </w:rPr>
        <w:t>the City has an interest in reducin</w:t>
      </w:r>
      <w:r w:rsidR="00AA41C6" w:rsidRPr="00FF3EF3">
        <w:rPr>
          <w:rFonts w:ascii="Times New Roman" w:hAnsi="Times New Roman" w:cs="Times New Roman"/>
        </w:rPr>
        <w:t>g energy consumption citywide by</w:t>
      </w:r>
      <w:r w:rsidRPr="00FF3EF3">
        <w:rPr>
          <w:rFonts w:ascii="Times New Roman" w:hAnsi="Times New Roman" w:cs="Times New Roman"/>
        </w:rPr>
        <w:t xml:space="preserve"> increasing the energy efficiency of existing buildings located within its jurisdictional limits, and in being a leader for initiatives related to economic development and environmental protection; and</w:t>
      </w:r>
    </w:p>
    <w:p w:rsidR="00102DF0" w:rsidRPr="00FF3EF3" w:rsidRDefault="00102DF0" w:rsidP="00FF3EF3">
      <w:pPr>
        <w:jc w:val="both"/>
        <w:rPr>
          <w:rFonts w:ascii="Times New Roman" w:hAnsi="Times New Roman" w:cs="Times New Roman"/>
        </w:rPr>
      </w:pPr>
    </w:p>
    <w:p w:rsidR="003A53AB" w:rsidRPr="00FF3EF3" w:rsidRDefault="003A53AB" w:rsidP="00FF3EF3">
      <w:pPr>
        <w:jc w:val="both"/>
        <w:rPr>
          <w:rFonts w:ascii="Times New Roman" w:hAnsi="Times New Roman" w:cs="Times New Roman"/>
        </w:rPr>
      </w:pPr>
      <w:r w:rsidRPr="00FF3EF3">
        <w:rPr>
          <w:rFonts w:ascii="Times New Roman" w:hAnsi="Times New Roman" w:cs="Times New Roman"/>
          <w:b/>
        </w:rPr>
        <w:lastRenderedPageBreak/>
        <w:t>WHEREAS,</w:t>
      </w:r>
      <w:r w:rsidRPr="00FF3EF3">
        <w:rPr>
          <w:rFonts w:ascii="Times New Roman" w:hAnsi="Times New Roman" w:cs="Times New Roman"/>
        </w:rPr>
        <w:t xml:space="preserve"> such goals and benefits can be obtained via energy efficiency best practices; and</w:t>
      </w:r>
    </w:p>
    <w:p w:rsidR="00102DF0" w:rsidRPr="00FF3EF3" w:rsidRDefault="00102DF0" w:rsidP="00FF3EF3">
      <w:pPr>
        <w:jc w:val="both"/>
        <w:rPr>
          <w:rFonts w:ascii="Times New Roman" w:hAnsi="Times New Roman" w:cs="Times New Roman"/>
          <w:bCs/>
        </w:rPr>
      </w:pPr>
    </w:p>
    <w:p w:rsidR="00102DF0" w:rsidRPr="00FF3EF3" w:rsidRDefault="00102DF0" w:rsidP="00FF3EF3">
      <w:pPr>
        <w:jc w:val="both"/>
        <w:rPr>
          <w:rFonts w:ascii="Times New Roman" w:hAnsi="Times New Roman" w:cs="Times New Roman"/>
          <w:bCs/>
        </w:rPr>
      </w:pPr>
      <w:r w:rsidRPr="00FF3EF3">
        <w:rPr>
          <w:rFonts w:ascii="Times New Roman" w:hAnsi="Times New Roman" w:cs="Times New Roman"/>
          <w:b/>
          <w:bCs/>
        </w:rPr>
        <w:t xml:space="preserve">WHEREAS, </w:t>
      </w:r>
      <w:r w:rsidRPr="00FF3EF3">
        <w:rPr>
          <w:rFonts w:ascii="Times New Roman" w:hAnsi="Times New Roman" w:cs="Times New Roman"/>
          <w:bCs/>
        </w:rPr>
        <w:t xml:space="preserve">the City finds it to be in the interest of the public and the general welfare to adopt </w:t>
      </w:r>
      <w:r w:rsidR="003A53AB" w:rsidRPr="00FF3EF3">
        <w:rPr>
          <w:rFonts w:ascii="Times New Roman" w:hAnsi="Times New Roman" w:cs="Times New Roman"/>
          <w:bCs/>
        </w:rPr>
        <w:t xml:space="preserve">a standard policy </w:t>
      </w:r>
      <w:r w:rsidRPr="00FF3EF3">
        <w:rPr>
          <w:rFonts w:ascii="Times New Roman" w:hAnsi="Times New Roman" w:cs="Times New Roman"/>
          <w:bCs/>
        </w:rPr>
        <w:t>regarding the efficient use of energy</w:t>
      </w:r>
      <w:r w:rsidR="00E36F46" w:rsidRPr="00FF3EF3">
        <w:rPr>
          <w:rFonts w:ascii="Times New Roman" w:hAnsi="Times New Roman" w:cs="Times New Roman"/>
          <w:bCs/>
        </w:rPr>
        <w:t xml:space="preserve"> and water</w:t>
      </w:r>
      <w:r w:rsidRPr="00FF3EF3">
        <w:rPr>
          <w:rFonts w:ascii="Times New Roman" w:hAnsi="Times New Roman" w:cs="Times New Roman"/>
          <w:bCs/>
        </w:rPr>
        <w:t xml:space="preserve"> as it supports economic development, improves economic standing of the community, produces better public health outcomes and reduce emissions of greenhouse gases thereby benefiting the City’s citizens and businesses and furthering the Mayor’s sustainability initiatives for Atlanta.</w:t>
      </w:r>
    </w:p>
    <w:p w:rsidR="00102DF0" w:rsidRPr="00FF3EF3" w:rsidRDefault="00102DF0" w:rsidP="00FF3EF3">
      <w:pPr>
        <w:jc w:val="both"/>
        <w:rPr>
          <w:rFonts w:ascii="Times New Roman" w:hAnsi="Times New Roman" w:cs="Times New Roman"/>
          <w:bCs/>
        </w:rPr>
      </w:pPr>
    </w:p>
    <w:p w:rsidR="00102DF0" w:rsidRPr="00FF3EF3" w:rsidRDefault="00F12236" w:rsidP="00FF3EF3">
      <w:pPr>
        <w:jc w:val="both"/>
        <w:rPr>
          <w:rFonts w:ascii="Times New Roman" w:hAnsi="Times New Roman" w:cs="Times New Roman"/>
          <w:b/>
          <w:bCs/>
        </w:rPr>
      </w:pPr>
      <w:r w:rsidRPr="00FF3EF3">
        <w:rPr>
          <w:rFonts w:ascii="Times New Roman" w:hAnsi="Times New Roman" w:cs="Times New Roman"/>
          <w:b/>
          <w:bCs/>
        </w:rPr>
        <w:t xml:space="preserve">NOW THEREFORE, BE IT AND IT IS HEREBY ORDAINED BY </w:t>
      </w:r>
      <w:r w:rsidR="00102DF0" w:rsidRPr="00FF3EF3">
        <w:rPr>
          <w:rFonts w:ascii="Times New Roman" w:hAnsi="Times New Roman" w:cs="Times New Roman"/>
          <w:b/>
          <w:bCs/>
        </w:rPr>
        <w:t>THE CITY COUNCIL OF THE C</w:t>
      </w:r>
      <w:r w:rsidRPr="00FF3EF3">
        <w:rPr>
          <w:rFonts w:ascii="Times New Roman" w:hAnsi="Times New Roman" w:cs="Times New Roman"/>
          <w:b/>
          <w:bCs/>
        </w:rPr>
        <w:t>ITY OF ATLANTA, GEORGIA</w:t>
      </w:r>
      <w:r w:rsidR="00102DF0" w:rsidRPr="00FF3EF3">
        <w:rPr>
          <w:rFonts w:ascii="Times New Roman" w:hAnsi="Times New Roman" w:cs="Times New Roman"/>
          <w:b/>
          <w:bCs/>
        </w:rPr>
        <w:t xml:space="preserve"> </w:t>
      </w:r>
      <w:r w:rsidR="00102DF0" w:rsidRPr="00FF3EF3">
        <w:rPr>
          <w:rFonts w:ascii="Times New Roman" w:hAnsi="Times New Roman" w:cs="Times New Roman"/>
          <w:bCs/>
        </w:rPr>
        <w:t>as follows:</w:t>
      </w:r>
    </w:p>
    <w:p w:rsidR="00081D97" w:rsidRPr="00FF3EF3" w:rsidRDefault="00081D97" w:rsidP="00FF3EF3">
      <w:pPr>
        <w:jc w:val="both"/>
        <w:rPr>
          <w:rFonts w:ascii="Times New Roman" w:hAnsi="Times New Roman" w:cs="Times New Roman"/>
          <w:b/>
        </w:rPr>
      </w:pPr>
    </w:p>
    <w:p w:rsidR="00081D97" w:rsidRPr="00FF3EF3" w:rsidRDefault="00142C30" w:rsidP="00FF3EF3">
      <w:pPr>
        <w:jc w:val="both"/>
        <w:rPr>
          <w:rFonts w:ascii="Times New Roman" w:hAnsi="Times New Roman" w:cs="Times New Roman"/>
        </w:rPr>
      </w:pPr>
      <w:r w:rsidRPr="00FF3EF3">
        <w:rPr>
          <w:rFonts w:ascii="Times New Roman" w:hAnsi="Times New Roman" w:cs="Times New Roman"/>
          <w:b/>
          <w:u w:val="single"/>
        </w:rPr>
        <w:t>Section 1.</w:t>
      </w:r>
      <w:r w:rsidRPr="00FF3EF3">
        <w:rPr>
          <w:rFonts w:ascii="Times New Roman" w:hAnsi="Times New Roman" w:cs="Times New Roman"/>
          <w:b/>
        </w:rPr>
        <w:t xml:space="preserve"> </w:t>
      </w:r>
      <w:r w:rsidR="00F552D9" w:rsidRPr="00FF3EF3">
        <w:rPr>
          <w:rFonts w:ascii="Times New Roman" w:hAnsi="Times New Roman" w:cs="Times New Roman"/>
        </w:rPr>
        <w:t>Section 8-2002</w:t>
      </w:r>
      <w:r w:rsidRPr="00FF3EF3">
        <w:rPr>
          <w:rFonts w:ascii="Times New Roman" w:hAnsi="Times New Roman" w:cs="Times New Roman"/>
        </w:rPr>
        <w:t xml:space="preserve"> of </w:t>
      </w:r>
      <w:r w:rsidR="00F552D9" w:rsidRPr="00FF3EF3">
        <w:rPr>
          <w:rFonts w:ascii="Times New Roman" w:hAnsi="Times New Roman" w:cs="Times New Roman"/>
        </w:rPr>
        <w:t xml:space="preserve">the Land Development Code, </w:t>
      </w:r>
      <w:r w:rsidR="007E79A7" w:rsidRPr="00FF3EF3">
        <w:rPr>
          <w:rFonts w:ascii="Times New Roman" w:hAnsi="Times New Roman" w:cs="Times New Roman"/>
        </w:rPr>
        <w:t>Part III of the</w:t>
      </w:r>
      <w:r w:rsidR="00F552D9" w:rsidRPr="00FF3EF3">
        <w:rPr>
          <w:rFonts w:ascii="Times New Roman" w:hAnsi="Times New Roman" w:cs="Times New Roman"/>
        </w:rPr>
        <w:t xml:space="preserve"> Atlanta</w:t>
      </w:r>
      <w:r w:rsidR="007E79A7" w:rsidRPr="00FF3EF3">
        <w:rPr>
          <w:rFonts w:ascii="Times New Roman" w:hAnsi="Times New Roman" w:cs="Times New Roman"/>
        </w:rPr>
        <w:t xml:space="preserve"> </w:t>
      </w:r>
      <w:r w:rsidR="00F552D9" w:rsidRPr="00FF3EF3">
        <w:rPr>
          <w:rFonts w:ascii="Times New Roman" w:hAnsi="Times New Roman" w:cs="Times New Roman"/>
        </w:rPr>
        <w:t>City Code which is currently reserved is hereby amended</w:t>
      </w:r>
      <w:r w:rsidRPr="00FF3EF3">
        <w:rPr>
          <w:rFonts w:ascii="Times New Roman" w:hAnsi="Times New Roman" w:cs="Times New Roman"/>
        </w:rPr>
        <w:t xml:space="preserve"> and replaced in its entirety with the following:</w:t>
      </w:r>
    </w:p>
    <w:p w:rsidR="00423A6D" w:rsidRPr="00FF3EF3" w:rsidRDefault="00423A6D" w:rsidP="00FF3EF3">
      <w:pPr>
        <w:jc w:val="both"/>
        <w:rPr>
          <w:rFonts w:ascii="Times New Roman" w:hAnsi="Times New Roman" w:cs="Times New Roman"/>
          <w:i/>
        </w:rPr>
      </w:pPr>
    </w:p>
    <w:p w:rsidR="00423A6D" w:rsidRPr="00FF3EF3" w:rsidRDefault="00F552D9" w:rsidP="00FF3EF3">
      <w:pPr>
        <w:jc w:val="both"/>
        <w:rPr>
          <w:rFonts w:ascii="Times New Roman" w:hAnsi="Times New Roman" w:cs="Times New Roman"/>
          <w:i/>
        </w:rPr>
      </w:pPr>
      <w:r w:rsidRPr="00FF3EF3">
        <w:rPr>
          <w:rFonts w:ascii="Times New Roman" w:hAnsi="Times New Roman" w:cs="Times New Roman"/>
          <w:i/>
        </w:rPr>
        <w:t>Sec. 8-2002</w:t>
      </w:r>
      <w:r w:rsidR="00423A6D" w:rsidRPr="00FF3EF3">
        <w:rPr>
          <w:rFonts w:ascii="Times New Roman" w:hAnsi="Times New Roman" w:cs="Times New Roman"/>
          <w:i/>
        </w:rPr>
        <w:t>. – Definitions</w:t>
      </w:r>
    </w:p>
    <w:p w:rsidR="00423A6D" w:rsidRPr="00FF3EF3" w:rsidRDefault="00423A6D" w:rsidP="00FF3EF3">
      <w:pPr>
        <w:jc w:val="both"/>
        <w:rPr>
          <w:rFonts w:ascii="Times New Roman" w:hAnsi="Times New Roman" w:cs="Times New Roman"/>
          <w:i/>
        </w:rPr>
      </w:pPr>
    </w:p>
    <w:p w:rsidR="00423A6D" w:rsidRPr="00FF3EF3" w:rsidRDefault="00423A6D" w:rsidP="00FF3EF3">
      <w:pPr>
        <w:jc w:val="both"/>
        <w:rPr>
          <w:rFonts w:ascii="Times New Roman" w:hAnsi="Times New Roman" w:cs="Times New Roman"/>
          <w:i/>
        </w:rPr>
      </w:pPr>
      <w:r w:rsidRPr="00FF3EF3">
        <w:rPr>
          <w:rFonts w:ascii="Times New Roman" w:hAnsi="Times New Roman" w:cs="Times New Roman"/>
          <w:i/>
        </w:rPr>
        <w:t>The following words, terms and phrases, when used in this Article, shall have the meanings ascribed to them in this section, except where the context clearly indicates a different meaning:</w:t>
      </w:r>
    </w:p>
    <w:p w:rsidR="00131CD9" w:rsidRPr="00FF3EF3" w:rsidRDefault="00131CD9" w:rsidP="00FF3EF3">
      <w:pPr>
        <w:jc w:val="both"/>
        <w:rPr>
          <w:rFonts w:ascii="Times New Roman" w:hAnsi="Times New Roman" w:cs="Times New Roman"/>
        </w:rPr>
      </w:pPr>
    </w:p>
    <w:p w:rsidR="00131CD9" w:rsidRPr="00FF3EF3" w:rsidRDefault="00131CD9" w:rsidP="00FF3EF3">
      <w:pPr>
        <w:jc w:val="both"/>
        <w:rPr>
          <w:rFonts w:ascii="Times New Roman" w:hAnsi="Times New Roman" w:cs="Times New Roman"/>
          <w:i/>
        </w:rPr>
      </w:pPr>
      <w:r w:rsidRPr="00FF3EF3">
        <w:rPr>
          <w:rFonts w:ascii="Times New Roman" w:hAnsi="Times New Roman" w:cs="Times New Roman"/>
          <w:i/>
        </w:rPr>
        <w:t>Atlanta Building identification number</w:t>
      </w:r>
      <w:r w:rsidR="00FA35DA" w:rsidRPr="00FF3EF3">
        <w:rPr>
          <w:rFonts w:ascii="Times New Roman" w:hAnsi="Times New Roman" w:cs="Times New Roman"/>
          <w:i/>
        </w:rPr>
        <w:t xml:space="preserve"> means a randomly-</w:t>
      </w:r>
      <w:r w:rsidRPr="00FF3EF3">
        <w:rPr>
          <w:rFonts w:ascii="Times New Roman" w:hAnsi="Times New Roman" w:cs="Times New Roman"/>
          <w:i/>
        </w:rPr>
        <w:t>generated identification number that is stable and specific to a covered property.</w:t>
      </w:r>
    </w:p>
    <w:p w:rsidR="00131CD9" w:rsidRPr="00FF3EF3" w:rsidRDefault="00131CD9"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A</w:t>
      </w:r>
      <w:r w:rsidR="00081D97" w:rsidRPr="00FF3EF3">
        <w:rPr>
          <w:rFonts w:ascii="Times New Roman" w:hAnsi="Times New Roman" w:cs="Times New Roman"/>
          <w:i/>
        </w:rPr>
        <w:t>udit</w:t>
      </w:r>
      <w:r w:rsidRPr="00FF3EF3">
        <w:rPr>
          <w:rFonts w:ascii="Times New Roman" w:hAnsi="Times New Roman" w:cs="Times New Roman"/>
          <w:i/>
        </w:rPr>
        <w:t xml:space="preserve"> report</w:t>
      </w:r>
      <w:r w:rsidR="00081D97" w:rsidRPr="00FF3EF3">
        <w:rPr>
          <w:rFonts w:ascii="Times New Roman" w:hAnsi="Times New Roman" w:cs="Times New Roman"/>
          <w:i/>
        </w:rPr>
        <w:t xml:space="preserve"> means the final document produced by the energy auditor including but not limited to:</w:t>
      </w:r>
    </w:p>
    <w:p w:rsidR="00081D97" w:rsidRPr="00FF3EF3" w:rsidRDefault="00081D97" w:rsidP="00FF3EF3">
      <w:pPr>
        <w:numPr>
          <w:ilvl w:val="1"/>
          <w:numId w:val="11"/>
        </w:numPr>
        <w:jc w:val="both"/>
        <w:rPr>
          <w:rFonts w:ascii="Times New Roman" w:hAnsi="Times New Roman" w:cs="Times New Roman"/>
          <w:i/>
        </w:rPr>
      </w:pPr>
      <w:r w:rsidRPr="00FF3EF3">
        <w:rPr>
          <w:rFonts w:ascii="Times New Roman" w:hAnsi="Times New Roman" w:cs="Times New Roman"/>
          <w:i/>
        </w:rPr>
        <w:t>the summary audit report,</w:t>
      </w:r>
    </w:p>
    <w:p w:rsidR="00774A8F" w:rsidRPr="00FF3EF3" w:rsidRDefault="00774A8F" w:rsidP="00FF3EF3">
      <w:pPr>
        <w:numPr>
          <w:ilvl w:val="1"/>
          <w:numId w:val="11"/>
        </w:numPr>
        <w:tabs>
          <w:tab w:val="left" w:pos="1710"/>
        </w:tabs>
        <w:jc w:val="both"/>
        <w:rPr>
          <w:rFonts w:ascii="Times New Roman" w:hAnsi="Times New Roman" w:cs="Times New Roman"/>
          <w:i/>
        </w:rPr>
      </w:pPr>
      <w:r w:rsidRPr="00FF3EF3">
        <w:rPr>
          <w:rFonts w:ascii="Times New Roman" w:hAnsi="Times New Roman" w:cs="Times New Roman"/>
          <w:i/>
        </w:rPr>
        <w:t>base building systems and equipment inventory,</w:t>
      </w:r>
    </w:p>
    <w:p w:rsidR="00774A8F" w:rsidRPr="00FF3EF3" w:rsidRDefault="00774A8F" w:rsidP="00FF3EF3">
      <w:pPr>
        <w:numPr>
          <w:ilvl w:val="1"/>
          <w:numId w:val="11"/>
        </w:numPr>
        <w:tabs>
          <w:tab w:val="left" w:pos="1710"/>
        </w:tabs>
        <w:jc w:val="both"/>
        <w:rPr>
          <w:rFonts w:ascii="Times New Roman" w:hAnsi="Times New Roman" w:cs="Times New Roman"/>
          <w:i/>
        </w:rPr>
      </w:pPr>
      <w:r w:rsidRPr="00FF3EF3">
        <w:rPr>
          <w:rFonts w:ascii="Times New Roman" w:hAnsi="Times New Roman" w:cs="Times New Roman"/>
          <w:i/>
        </w:rPr>
        <w:t>all reasonable measures, including capital improvements, that would, if implemented, reduce energy and water use and/or the cost of operating the building,</w:t>
      </w:r>
    </w:p>
    <w:p w:rsidR="00774A8F" w:rsidRPr="00FF3EF3" w:rsidRDefault="00774A8F" w:rsidP="00FF3EF3">
      <w:pPr>
        <w:numPr>
          <w:ilvl w:val="1"/>
          <w:numId w:val="11"/>
        </w:numPr>
        <w:tabs>
          <w:tab w:val="left" w:pos="1710"/>
        </w:tabs>
        <w:jc w:val="both"/>
        <w:rPr>
          <w:rFonts w:ascii="Times New Roman" w:hAnsi="Times New Roman" w:cs="Times New Roman"/>
          <w:i/>
        </w:rPr>
      </w:pPr>
      <w:r w:rsidRPr="00FF3EF3">
        <w:rPr>
          <w:rFonts w:ascii="Times New Roman" w:hAnsi="Times New Roman" w:cs="Times New Roman"/>
          <w:i/>
        </w:rPr>
        <w:t>for each measure, the associated annual energy or water savings, the cost to implement, the net present value, and the simple payback, calculated by a method determined by the Department,</w:t>
      </w:r>
    </w:p>
    <w:p w:rsidR="00774A8F" w:rsidRPr="00FF3EF3" w:rsidRDefault="00774A8F" w:rsidP="00FF3EF3">
      <w:pPr>
        <w:numPr>
          <w:ilvl w:val="1"/>
          <w:numId w:val="11"/>
        </w:numPr>
        <w:tabs>
          <w:tab w:val="left" w:pos="1710"/>
        </w:tabs>
        <w:jc w:val="both"/>
        <w:rPr>
          <w:rFonts w:ascii="Times New Roman" w:hAnsi="Times New Roman" w:cs="Times New Roman"/>
          <w:i/>
        </w:rPr>
      </w:pPr>
      <w:r w:rsidRPr="00FF3EF3">
        <w:rPr>
          <w:rFonts w:ascii="Times New Roman" w:hAnsi="Times New Roman" w:cs="Times New Roman"/>
          <w:i/>
        </w:rPr>
        <w:t>a list of recommended measures, chosen from among the measures, analyzed, and the interactive savings predicted from that package of measures,</w:t>
      </w:r>
    </w:p>
    <w:p w:rsidR="00774A8F" w:rsidRPr="00FF3EF3" w:rsidRDefault="00774A8F" w:rsidP="00FF3EF3">
      <w:pPr>
        <w:numPr>
          <w:ilvl w:val="1"/>
          <w:numId w:val="11"/>
        </w:numPr>
        <w:tabs>
          <w:tab w:val="left" w:pos="1710"/>
        </w:tabs>
        <w:jc w:val="both"/>
        <w:rPr>
          <w:rFonts w:ascii="Times New Roman" w:hAnsi="Times New Roman" w:cs="Times New Roman"/>
          <w:i/>
        </w:rPr>
      </w:pPr>
      <w:r w:rsidRPr="00FF3EF3">
        <w:rPr>
          <w:rFonts w:ascii="Times New Roman" w:hAnsi="Times New Roman" w:cs="Times New Roman"/>
          <w:i/>
        </w:rPr>
        <w:t>the building’s benchmarking submission for the previous calendar year consistent with the United States Environmental Protection Agency (EPA) Portfolio Manager tool or as otherwise established by the Department,</w:t>
      </w:r>
    </w:p>
    <w:p w:rsidR="00774A8F" w:rsidRPr="00FF3EF3" w:rsidRDefault="00774A8F" w:rsidP="00FF3EF3">
      <w:pPr>
        <w:numPr>
          <w:ilvl w:val="1"/>
          <w:numId w:val="11"/>
        </w:numPr>
        <w:tabs>
          <w:tab w:val="left" w:pos="1710"/>
        </w:tabs>
        <w:jc w:val="both"/>
        <w:rPr>
          <w:rFonts w:ascii="Times New Roman" w:hAnsi="Times New Roman" w:cs="Times New Roman"/>
          <w:i/>
        </w:rPr>
      </w:pPr>
      <w:r w:rsidRPr="00FF3EF3">
        <w:rPr>
          <w:rFonts w:ascii="Times New Roman" w:hAnsi="Times New Roman" w:cs="Times New Roman"/>
          <w:i/>
        </w:rPr>
        <w:t>reporting of energy usage by system and predicted energy savings by system after implementation of the recommended measures, and</w:t>
      </w:r>
    </w:p>
    <w:p w:rsidR="00774A8F" w:rsidRPr="00FF3EF3" w:rsidRDefault="00774A8F" w:rsidP="00FF3EF3">
      <w:pPr>
        <w:numPr>
          <w:ilvl w:val="1"/>
          <w:numId w:val="11"/>
        </w:numPr>
        <w:tabs>
          <w:tab w:val="left" w:pos="1710"/>
        </w:tabs>
        <w:jc w:val="both"/>
        <w:rPr>
          <w:rFonts w:ascii="Times New Roman" w:hAnsi="Times New Roman" w:cs="Times New Roman"/>
          <w:i/>
        </w:rPr>
      </w:pPr>
      <w:r w:rsidRPr="00FF3EF3">
        <w:rPr>
          <w:rFonts w:ascii="Times New Roman" w:hAnsi="Times New Roman" w:cs="Times New Roman"/>
          <w:i/>
        </w:rPr>
        <w:t>reporting of water usage by system and predicted water savings by system after implementation of the recommended measures.</w:t>
      </w:r>
    </w:p>
    <w:p w:rsidR="00081D97" w:rsidRPr="00FF3EF3" w:rsidRDefault="00081D97" w:rsidP="00FF3EF3">
      <w:pPr>
        <w:numPr>
          <w:ilvl w:val="1"/>
          <w:numId w:val="11"/>
        </w:numPr>
        <w:jc w:val="both"/>
        <w:rPr>
          <w:rFonts w:ascii="Times New Roman" w:hAnsi="Times New Roman" w:cs="Times New Roman"/>
          <w:i/>
        </w:rPr>
      </w:pPr>
      <w:r w:rsidRPr="00FF3EF3">
        <w:rPr>
          <w:rFonts w:ascii="Times New Roman" w:hAnsi="Times New Roman" w:cs="Times New Roman"/>
          <w:i/>
        </w:rPr>
        <w:lastRenderedPageBreak/>
        <w:t>a general assessment of how the major energy and water consuming equipment and systems used within tenant spaces impact the energy and water consumption of the base building systems and</w:t>
      </w:r>
    </w:p>
    <w:p w:rsidR="00081D97" w:rsidRPr="00FF3EF3" w:rsidRDefault="00081D97" w:rsidP="00FF3EF3">
      <w:pPr>
        <w:spacing w:line="281" w:lineRule="atLeast"/>
        <w:ind w:left="1080"/>
        <w:jc w:val="both"/>
        <w:rPr>
          <w:rFonts w:ascii="Times New Roman" w:eastAsia="Times New Roman" w:hAnsi="Times New Roman" w:cs="Times New Roman"/>
          <w:i/>
          <w:color w:val="FF0000"/>
        </w:rPr>
      </w:pPr>
      <w:r w:rsidRPr="00FF3EF3">
        <w:rPr>
          <w:rFonts w:ascii="Times New Roman" w:hAnsi="Times New Roman" w:cs="Times New Roman"/>
          <w:i/>
        </w:rPr>
        <w:t>narratives, photographs and any additional explanatory information as required to describe the results of the audit.</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Ba</w:t>
      </w:r>
      <w:r w:rsidR="00081D97" w:rsidRPr="00FF3EF3">
        <w:rPr>
          <w:rFonts w:ascii="Times New Roman" w:hAnsi="Times New Roman" w:cs="Times New Roman"/>
          <w:i/>
        </w:rPr>
        <w:t>se building systems means the systems or subsystems of a building that use or distribute energy and/or water and/or impact energy and/or water consumption, including:</w:t>
      </w:r>
    </w:p>
    <w:p w:rsidR="00081D97" w:rsidRPr="00FF3EF3" w:rsidRDefault="00081D97" w:rsidP="00FF3EF3">
      <w:pPr>
        <w:numPr>
          <w:ilvl w:val="0"/>
          <w:numId w:val="9"/>
        </w:numPr>
        <w:jc w:val="both"/>
        <w:rPr>
          <w:rFonts w:ascii="Times New Roman" w:hAnsi="Times New Roman" w:cs="Times New Roman"/>
          <w:i/>
        </w:rPr>
      </w:pPr>
      <w:r w:rsidRPr="00FF3EF3">
        <w:rPr>
          <w:rFonts w:ascii="Times New Roman" w:hAnsi="Times New Roman" w:cs="Times New Roman"/>
          <w:i/>
        </w:rPr>
        <w:t>The building envelope,</w:t>
      </w:r>
    </w:p>
    <w:p w:rsidR="00081D97" w:rsidRPr="00FF3EF3" w:rsidRDefault="00081D97" w:rsidP="00FF3EF3">
      <w:pPr>
        <w:numPr>
          <w:ilvl w:val="0"/>
          <w:numId w:val="9"/>
        </w:numPr>
        <w:jc w:val="both"/>
        <w:rPr>
          <w:rFonts w:ascii="Times New Roman" w:hAnsi="Times New Roman" w:cs="Times New Roman"/>
          <w:i/>
        </w:rPr>
      </w:pPr>
      <w:r w:rsidRPr="00FF3EF3">
        <w:rPr>
          <w:rFonts w:ascii="Times New Roman" w:hAnsi="Times New Roman" w:cs="Times New Roman"/>
          <w:i/>
        </w:rPr>
        <w:t>The HVAC (heating ventilating and air conditioning) systems,</w:t>
      </w:r>
    </w:p>
    <w:p w:rsidR="00081D97" w:rsidRPr="00FF3EF3" w:rsidRDefault="00081D97" w:rsidP="00FF3EF3">
      <w:pPr>
        <w:numPr>
          <w:ilvl w:val="0"/>
          <w:numId w:val="9"/>
        </w:numPr>
        <w:jc w:val="both"/>
        <w:rPr>
          <w:rFonts w:ascii="Times New Roman" w:hAnsi="Times New Roman" w:cs="Times New Roman"/>
          <w:i/>
        </w:rPr>
      </w:pPr>
      <w:r w:rsidRPr="00FF3EF3">
        <w:rPr>
          <w:rFonts w:ascii="Times New Roman" w:hAnsi="Times New Roman" w:cs="Times New Roman"/>
          <w:i/>
        </w:rPr>
        <w:t>Conveying systems,</w:t>
      </w:r>
    </w:p>
    <w:p w:rsidR="00081D97" w:rsidRPr="00FF3EF3" w:rsidRDefault="00081D97" w:rsidP="00FF3EF3">
      <w:pPr>
        <w:numPr>
          <w:ilvl w:val="0"/>
          <w:numId w:val="9"/>
        </w:numPr>
        <w:jc w:val="both"/>
        <w:rPr>
          <w:rFonts w:ascii="Times New Roman" w:hAnsi="Times New Roman" w:cs="Times New Roman"/>
          <w:i/>
        </w:rPr>
      </w:pPr>
      <w:r w:rsidRPr="00FF3EF3">
        <w:rPr>
          <w:rFonts w:ascii="Times New Roman" w:hAnsi="Times New Roman" w:cs="Times New Roman"/>
          <w:i/>
        </w:rPr>
        <w:t>Electrical and lighting systems,</w:t>
      </w:r>
    </w:p>
    <w:p w:rsidR="00081D97" w:rsidRPr="00FF3EF3" w:rsidRDefault="00081D97" w:rsidP="00FF3EF3">
      <w:pPr>
        <w:numPr>
          <w:ilvl w:val="0"/>
          <w:numId w:val="9"/>
        </w:numPr>
        <w:jc w:val="both"/>
        <w:rPr>
          <w:rFonts w:ascii="Times New Roman" w:hAnsi="Times New Roman" w:cs="Times New Roman"/>
          <w:i/>
        </w:rPr>
      </w:pPr>
      <w:r w:rsidRPr="00FF3EF3">
        <w:rPr>
          <w:rFonts w:ascii="Times New Roman" w:hAnsi="Times New Roman" w:cs="Times New Roman"/>
          <w:i/>
        </w:rPr>
        <w:t>Domestic hot water systems,</w:t>
      </w:r>
    </w:p>
    <w:p w:rsidR="00081D97" w:rsidRPr="00FF3EF3" w:rsidRDefault="00081D97" w:rsidP="00FF3EF3">
      <w:pPr>
        <w:numPr>
          <w:ilvl w:val="0"/>
          <w:numId w:val="9"/>
        </w:numPr>
        <w:jc w:val="both"/>
        <w:rPr>
          <w:rFonts w:ascii="Times New Roman" w:hAnsi="Times New Roman" w:cs="Times New Roman"/>
          <w:i/>
        </w:rPr>
      </w:pPr>
      <w:r w:rsidRPr="00FF3EF3">
        <w:rPr>
          <w:rFonts w:ascii="Times New Roman" w:hAnsi="Times New Roman" w:cs="Times New Roman"/>
          <w:i/>
        </w:rPr>
        <w:t>Water distribution systems,</w:t>
      </w:r>
    </w:p>
    <w:p w:rsidR="00081D97" w:rsidRPr="00FF3EF3" w:rsidRDefault="00081D97" w:rsidP="00FF3EF3">
      <w:pPr>
        <w:numPr>
          <w:ilvl w:val="0"/>
          <w:numId w:val="9"/>
        </w:numPr>
        <w:jc w:val="both"/>
        <w:rPr>
          <w:rFonts w:ascii="Times New Roman" w:hAnsi="Times New Roman" w:cs="Times New Roman"/>
          <w:i/>
        </w:rPr>
      </w:pPr>
      <w:r w:rsidRPr="00FF3EF3">
        <w:rPr>
          <w:rFonts w:ascii="Times New Roman" w:hAnsi="Times New Roman" w:cs="Times New Roman"/>
          <w:i/>
        </w:rPr>
        <w:t>Plumbing fixtures and other water-using equipment, and</w:t>
      </w:r>
    </w:p>
    <w:p w:rsidR="00081D97" w:rsidRPr="00FF3EF3" w:rsidRDefault="00081D97" w:rsidP="00FF3EF3">
      <w:pPr>
        <w:numPr>
          <w:ilvl w:val="0"/>
          <w:numId w:val="9"/>
        </w:numPr>
        <w:jc w:val="both"/>
        <w:rPr>
          <w:rFonts w:ascii="Times New Roman" w:hAnsi="Times New Roman" w:cs="Times New Roman"/>
          <w:i/>
        </w:rPr>
      </w:pPr>
      <w:r w:rsidRPr="00FF3EF3">
        <w:rPr>
          <w:rFonts w:ascii="Times New Roman" w:hAnsi="Times New Roman" w:cs="Times New Roman"/>
          <w:i/>
        </w:rPr>
        <w:t>Landscape irrigation systems and fountains</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EXCEPTION:  base building systems</w:t>
      </w:r>
      <w:r w:rsidR="00081D97" w:rsidRPr="00FF3EF3">
        <w:rPr>
          <w:rFonts w:ascii="Times New Roman" w:hAnsi="Times New Roman" w:cs="Times New Roman"/>
          <w:i/>
        </w:rPr>
        <w:t xml:space="preserve"> shall not include:</w:t>
      </w:r>
    </w:p>
    <w:p w:rsidR="00C0009C" w:rsidRPr="00FF3EF3" w:rsidRDefault="00FA35DA" w:rsidP="00FF3EF3">
      <w:pPr>
        <w:pStyle w:val="ListParagraph"/>
        <w:jc w:val="both"/>
        <w:rPr>
          <w:rFonts w:ascii="Times New Roman" w:hAnsi="Times New Roman" w:cs="Times New Roman"/>
          <w:i/>
        </w:rPr>
      </w:pPr>
      <w:r w:rsidRPr="00FF3EF3">
        <w:rPr>
          <w:rFonts w:ascii="Times New Roman" w:hAnsi="Times New Roman" w:cs="Times New Roman"/>
          <w:i/>
        </w:rPr>
        <w:t xml:space="preserve">(i) </w:t>
      </w:r>
      <w:r w:rsidR="00081D97" w:rsidRPr="00FF3EF3">
        <w:rPr>
          <w:rFonts w:ascii="Times New Roman" w:hAnsi="Times New Roman" w:cs="Times New Roman"/>
          <w:i/>
        </w:rPr>
        <w:t>Systems or subsystems owned by residential tenants, condominium unit owners or cooperative unit shareholders, or a system or subsystems for which such residential tenants, condominium unit owners or cooperative unit shareholders</w:t>
      </w:r>
      <w:r w:rsidR="00081D97" w:rsidRPr="00FF3EF3" w:rsidDel="00DE0FFF">
        <w:rPr>
          <w:rFonts w:ascii="Times New Roman" w:hAnsi="Times New Roman" w:cs="Times New Roman"/>
          <w:i/>
        </w:rPr>
        <w:t xml:space="preserve"> </w:t>
      </w:r>
      <w:r w:rsidR="00081D97" w:rsidRPr="00FF3EF3">
        <w:rPr>
          <w:rFonts w:ascii="Times New Roman" w:hAnsi="Times New Roman" w:cs="Times New Roman"/>
          <w:i/>
        </w:rPr>
        <w:t>bear full maintenance responsibility and that is within the residential tenant’s, condominium unit owner’s or cooperative unit shareholder’s leased or owned space and/or exclusively serves such leased or owned space.</w:t>
      </w:r>
      <w:r w:rsidR="00C0009C" w:rsidRPr="00FF3EF3">
        <w:rPr>
          <w:rFonts w:ascii="Times New Roman" w:hAnsi="Times New Roman" w:cs="Times New Roman"/>
          <w:i/>
        </w:rPr>
        <w:br/>
        <w:t xml:space="preserve">(ii) Systems or subsystems </w:t>
      </w:r>
      <w:r w:rsidR="00334771" w:rsidRPr="00FF3EF3">
        <w:rPr>
          <w:rFonts w:ascii="Times New Roman" w:hAnsi="Times New Roman" w:cs="Times New Roman"/>
          <w:i/>
        </w:rPr>
        <w:t>within a residential tenant’s leased space and/or which exclusively serve such leased space and for which the tenant pays all the energy bills according to usage and demand as measured by a meter or sub-meter.</w:t>
      </w:r>
    </w:p>
    <w:p w:rsidR="00FA35DA" w:rsidRPr="00FF3EF3" w:rsidRDefault="00FA35DA" w:rsidP="00FF3EF3">
      <w:pPr>
        <w:pStyle w:val="ListParagraph"/>
        <w:jc w:val="both"/>
        <w:rPr>
          <w:rFonts w:ascii="Times New Roman" w:hAnsi="Times New Roman" w:cs="Times New Roman"/>
          <w:i/>
        </w:rPr>
      </w:pPr>
      <w:r w:rsidRPr="00FF3EF3">
        <w:rPr>
          <w:rFonts w:ascii="Times New Roman" w:hAnsi="Times New Roman" w:cs="Times New Roman"/>
          <w:i/>
        </w:rPr>
        <w:t>(i</w:t>
      </w:r>
      <w:r w:rsidR="00C0009C" w:rsidRPr="00FF3EF3">
        <w:rPr>
          <w:rFonts w:ascii="Times New Roman" w:hAnsi="Times New Roman" w:cs="Times New Roman"/>
          <w:i/>
        </w:rPr>
        <w:t>i</w:t>
      </w:r>
      <w:r w:rsidRPr="00FF3EF3">
        <w:rPr>
          <w:rFonts w:ascii="Times New Roman" w:hAnsi="Times New Roman" w:cs="Times New Roman"/>
          <w:i/>
        </w:rPr>
        <w:t xml:space="preserve">i) </w:t>
      </w:r>
      <w:r w:rsidR="00081D97" w:rsidRPr="00FF3EF3">
        <w:rPr>
          <w:rFonts w:ascii="Times New Roman" w:hAnsi="Times New Roman" w:cs="Times New Roman"/>
          <w:i/>
        </w:rPr>
        <w:t>Systems or subsystems owned by a non-residential tenant or for which a non-residential tenant bears full maintenance responsibility; and that is within the tenant’s leased space and/or exclusively serves such leased space; and for which the tenant pays all the energy bills according to usage and demand as measured by a meter or sub-meter.</w:t>
      </w:r>
    </w:p>
    <w:p w:rsidR="00081D97" w:rsidRPr="00FF3EF3" w:rsidRDefault="00334771" w:rsidP="00FF3EF3">
      <w:pPr>
        <w:ind w:left="720"/>
        <w:jc w:val="both"/>
        <w:rPr>
          <w:rFonts w:ascii="Times New Roman" w:hAnsi="Times New Roman" w:cs="Times New Roman"/>
          <w:i/>
        </w:rPr>
      </w:pPr>
      <w:r w:rsidRPr="00FF3EF3">
        <w:rPr>
          <w:rFonts w:ascii="Times New Roman" w:hAnsi="Times New Roman" w:cs="Times New Roman"/>
          <w:i/>
        </w:rPr>
        <w:t>(iv</w:t>
      </w:r>
      <w:r w:rsidR="00FA35DA" w:rsidRPr="00FF3EF3">
        <w:rPr>
          <w:rFonts w:ascii="Times New Roman" w:hAnsi="Times New Roman" w:cs="Times New Roman"/>
          <w:i/>
        </w:rPr>
        <w:t xml:space="preserve">) </w:t>
      </w:r>
      <w:r w:rsidR="00081D97" w:rsidRPr="00FF3EF3">
        <w:rPr>
          <w:rFonts w:ascii="Times New Roman" w:hAnsi="Times New Roman" w:cs="Times New Roman"/>
          <w:i/>
        </w:rPr>
        <w:t>Industrial processes.</w:t>
      </w:r>
      <w:r w:rsidR="00437C94" w:rsidRPr="00FF3EF3">
        <w:rPr>
          <w:rFonts w:ascii="Times New Roman" w:hAnsi="Times New Roman" w:cs="Times New Roman"/>
          <w:i/>
        </w:rPr>
        <w:br/>
      </w:r>
    </w:p>
    <w:p w:rsidR="00081D97" w:rsidRPr="00FF3EF3" w:rsidRDefault="00D122FD" w:rsidP="00FF3EF3">
      <w:pPr>
        <w:jc w:val="both"/>
        <w:rPr>
          <w:rFonts w:ascii="Times New Roman" w:hAnsi="Times New Roman" w:cs="Times New Roman"/>
          <w:i/>
          <w:color w:val="FF0000"/>
        </w:rPr>
      </w:pPr>
      <w:r w:rsidRPr="00FF3EF3">
        <w:rPr>
          <w:rFonts w:ascii="Times New Roman" w:hAnsi="Times New Roman" w:cs="Times New Roman"/>
          <w:i/>
        </w:rPr>
        <w:t>B</w:t>
      </w:r>
      <w:r w:rsidR="00081D97" w:rsidRPr="00FF3EF3">
        <w:rPr>
          <w:rFonts w:ascii="Times New Roman" w:hAnsi="Times New Roman" w:cs="Times New Roman"/>
          <w:i/>
        </w:rPr>
        <w:t xml:space="preserve">enchmark means to input and submit the total energy and water consumed for a property for the previous calendar year and other descriptive information for such property as required by the benchmarking tool. Total energy and water consumption shall not include separately metered uses that are not integral to building operations, such as broadcast antennas and electric vehicle charging stations, as determined by the </w:t>
      </w:r>
      <w:r w:rsidR="00072B73" w:rsidRPr="00FF3EF3">
        <w:rPr>
          <w:rFonts w:ascii="Times New Roman" w:hAnsi="Times New Roman" w:cs="Times New Roman"/>
          <w:i/>
        </w:rPr>
        <w:t>Department</w:t>
      </w:r>
      <w:r w:rsidR="00081D97" w:rsidRPr="00FF3EF3">
        <w:rPr>
          <w:rFonts w:ascii="Times New Roman" w:hAnsi="Times New Roman" w:cs="Times New Roman"/>
          <w:i/>
        </w:rPr>
        <w:t>.</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Benchmarking submission</w:t>
      </w:r>
      <w:r w:rsidR="00234DC3" w:rsidRPr="00FF3EF3">
        <w:rPr>
          <w:rFonts w:ascii="Times New Roman" w:hAnsi="Times New Roman" w:cs="Times New Roman"/>
          <w:i/>
        </w:rPr>
        <w:t xml:space="preserve"> means a subset of</w:t>
      </w:r>
      <w:r w:rsidR="00081D97" w:rsidRPr="00FF3EF3">
        <w:rPr>
          <w:rFonts w:ascii="Times New Roman" w:hAnsi="Times New Roman" w:cs="Times New Roman"/>
          <w:i/>
        </w:rPr>
        <w:t>:</w:t>
      </w:r>
    </w:p>
    <w:p w:rsidR="00081D97" w:rsidRPr="00FF3EF3" w:rsidRDefault="00081D97" w:rsidP="00FF3EF3">
      <w:pPr>
        <w:numPr>
          <w:ilvl w:val="0"/>
          <w:numId w:val="2"/>
        </w:numPr>
        <w:jc w:val="both"/>
        <w:rPr>
          <w:rFonts w:ascii="Times New Roman" w:hAnsi="Times New Roman" w:cs="Times New Roman"/>
          <w:i/>
        </w:rPr>
      </w:pPr>
      <w:r w:rsidRPr="00FF3EF3">
        <w:rPr>
          <w:rFonts w:ascii="Times New Roman" w:hAnsi="Times New Roman" w:cs="Times New Roman"/>
          <w:i/>
        </w:rPr>
        <w:t>Information input into the benchmarking tool; and</w:t>
      </w:r>
    </w:p>
    <w:p w:rsidR="00081D97" w:rsidRPr="00FF3EF3" w:rsidRDefault="00081D97" w:rsidP="00FF3EF3">
      <w:pPr>
        <w:numPr>
          <w:ilvl w:val="0"/>
          <w:numId w:val="2"/>
        </w:numPr>
        <w:jc w:val="both"/>
        <w:rPr>
          <w:rFonts w:ascii="Times New Roman" w:hAnsi="Times New Roman" w:cs="Times New Roman"/>
          <w:i/>
        </w:rPr>
      </w:pPr>
      <w:r w:rsidRPr="00FF3EF3">
        <w:rPr>
          <w:rFonts w:ascii="Times New Roman" w:hAnsi="Times New Roman" w:cs="Times New Roman"/>
          <w:i/>
        </w:rPr>
        <w:t xml:space="preserve">Benchmarking information generated by the benchmarking tool, as determined by the </w:t>
      </w:r>
      <w:r w:rsidR="00072B73" w:rsidRPr="00FF3EF3">
        <w:rPr>
          <w:rFonts w:ascii="Times New Roman" w:hAnsi="Times New Roman" w:cs="Times New Roman"/>
          <w:i/>
        </w:rPr>
        <w:t>Department</w:t>
      </w:r>
      <w:r w:rsidRPr="00FF3EF3">
        <w:rPr>
          <w:rFonts w:ascii="Times New Roman" w:hAnsi="Times New Roman" w:cs="Times New Roman"/>
          <w:i/>
        </w:rPr>
        <w:t>.</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color w:val="FF0000"/>
        </w:rPr>
      </w:pPr>
      <w:r w:rsidRPr="00C61584">
        <w:rPr>
          <w:rFonts w:ascii="Times New Roman" w:hAnsi="Times New Roman" w:cs="Times New Roman"/>
          <w:i/>
        </w:rPr>
        <w:t>Benchmarking tool</w:t>
      </w:r>
      <w:r w:rsidR="00081D97" w:rsidRPr="00C61584">
        <w:rPr>
          <w:rFonts w:ascii="Times New Roman" w:hAnsi="Times New Roman" w:cs="Times New Roman"/>
          <w:i/>
        </w:rPr>
        <w:t xml:space="preserve"> means the U.S. Environmental Protection Agency’s ENERGY STAR Portfolio Manager,</w:t>
      </w:r>
      <w:r w:rsidR="000D4AE5" w:rsidRPr="00C61584">
        <w:rPr>
          <w:rFonts w:ascii="Times New Roman" w:hAnsi="Times New Roman" w:cs="Times New Roman"/>
          <w:i/>
        </w:rPr>
        <w:t xml:space="preserve"> or any other alternative benchmarking tool approved by the Department as materially equivalent to ENERGY STAR Portfolio Manager. The Department shall establish written guidel</w:t>
      </w:r>
      <w:r w:rsidR="00F57BC2" w:rsidRPr="00C61584">
        <w:rPr>
          <w:rFonts w:ascii="Times New Roman" w:hAnsi="Times New Roman" w:cs="Times New Roman"/>
          <w:i/>
        </w:rPr>
        <w:t>ines for the approval application process.</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Building management system</w:t>
      </w:r>
      <w:r w:rsidR="00081D97" w:rsidRPr="00FF3EF3">
        <w:rPr>
          <w:rFonts w:ascii="Times New Roman" w:hAnsi="Times New Roman" w:cs="Times New Roman"/>
          <w:i/>
        </w:rPr>
        <w:t xml:space="preserve"> mean</w:t>
      </w:r>
      <w:r w:rsidRPr="00FF3EF3">
        <w:rPr>
          <w:rFonts w:ascii="Times New Roman" w:hAnsi="Times New Roman" w:cs="Times New Roman"/>
          <w:i/>
        </w:rPr>
        <w:t>s a computer-based system that monitors and controls a</w:t>
      </w:r>
      <w:r w:rsidR="00081D97" w:rsidRPr="00FF3EF3">
        <w:rPr>
          <w:rFonts w:ascii="Times New Roman" w:hAnsi="Times New Roman" w:cs="Times New Roman"/>
          <w:i/>
        </w:rPr>
        <w:t xml:space="preserve"> building’s mechanical and electrical </w:t>
      </w:r>
      <w:r w:rsidR="00A949EA" w:rsidRPr="00FF3EF3">
        <w:rPr>
          <w:rFonts w:ascii="Times New Roman" w:hAnsi="Times New Roman" w:cs="Times New Roman"/>
          <w:i/>
        </w:rPr>
        <w:t xml:space="preserve">equipment, such as HVAC, </w:t>
      </w:r>
      <w:r w:rsidR="00081D97" w:rsidRPr="00FF3EF3">
        <w:rPr>
          <w:rFonts w:ascii="Times New Roman" w:hAnsi="Times New Roman" w:cs="Times New Roman"/>
          <w:i/>
        </w:rPr>
        <w:t>lighting, power, fire, and security systems.</w:t>
      </w:r>
    </w:p>
    <w:p w:rsidR="00DF1752" w:rsidRPr="00FF3EF3" w:rsidRDefault="00DF1752" w:rsidP="00FF3EF3">
      <w:pPr>
        <w:jc w:val="both"/>
        <w:rPr>
          <w:rFonts w:ascii="Times New Roman" w:hAnsi="Times New Roman" w:cs="Times New Roman"/>
          <w:i/>
        </w:rPr>
      </w:pPr>
    </w:p>
    <w:p w:rsidR="00DF1752" w:rsidRPr="00FF3EF3" w:rsidRDefault="00D122FD" w:rsidP="00FF3EF3">
      <w:pPr>
        <w:jc w:val="both"/>
        <w:rPr>
          <w:rFonts w:ascii="Times New Roman" w:hAnsi="Times New Roman" w:cs="Times New Roman"/>
          <w:i/>
        </w:rPr>
      </w:pPr>
      <w:r w:rsidRPr="00FF3EF3">
        <w:rPr>
          <w:rFonts w:ascii="Times New Roman" w:hAnsi="Times New Roman" w:cs="Times New Roman"/>
          <w:i/>
        </w:rPr>
        <w:t>City</w:t>
      </w:r>
      <w:r w:rsidR="00DF1752" w:rsidRPr="00FF3EF3">
        <w:rPr>
          <w:rFonts w:ascii="Times New Roman" w:hAnsi="Times New Roman" w:cs="Times New Roman"/>
          <w:i/>
        </w:rPr>
        <w:t xml:space="preserve"> means the City of Atlanta</w:t>
      </w:r>
      <w:r w:rsidR="00234DC3" w:rsidRPr="00FF3EF3">
        <w:rPr>
          <w:rFonts w:ascii="Times New Roman" w:hAnsi="Times New Roman" w:cs="Times New Roman"/>
          <w:i/>
        </w:rPr>
        <w:t>.</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bCs/>
          <w:i/>
        </w:rPr>
        <w:t>Covered city property</w:t>
      </w:r>
      <w:r w:rsidR="00081D97" w:rsidRPr="00FF3EF3">
        <w:rPr>
          <w:rFonts w:ascii="Times New Roman" w:hAnsi="Times New Roman" w:cs="Times New Roman"/>
          <w:bCs/>
          <w:i/>
        </w:rPr>
        <w:t xml:space="preserve"> means a</w:t>
      </w:r>
      <w:r w:rsidR="00081D97" w:rsidRPr="00FF3EF3">
        <w:rPr>
          <w:rFonts w:ascii="Times New Roman" w:hAnsi="Times New Roman" w:cs="Times New Roman"/>
          <w:i/>
        </w:rPr>
        <w:t xml:space="preserve"> property</w:t>
      </w:r>
    </w:p>
    <w:p w:rsidR="00081D97" w:rsidRPr="00FF3EF3" w:rsidRDefault="00081D97" w:rsidP="00FF3EF3">
      <w:pPr>
        <w:numPr>
          <w:ilvl w:val="0"/>
          <w:numId w:val="1"/>
        </w:numPr>
        <w:jc w:val="both"/>
        <w:rPr>
          <w:rFonts w:ascii="Times New Roman" w:hAnsi="Times New Roman" w:cs="Times New Roman"/>
          <w:i/>
        </w:rPr>
      </w:pPr>
      <w:r w:rsidRPr="00FF3EF3">
        <w:rPr>
          <w:rFonts w:ascii="Times New Roman" w:hAnsi="Times New Roman" w:cs="Times New Roman"/>
          <w:i/>
        </w:rPr>
        <w:t>That, for the purposes of benchmarking and disclosure, has one or more buildings that together exceed 10,000 gross square feet in total combined floor area; or</w:t>
      </w:r>
    </w:p>
    <w:p w:rsidR="00081D97" w:rsidRPr="00FF3EF3" w:rsidRDefault="00081D97" w:rsidP="00FF3EF3">
      <w:pPr>
        <w:numPr>
          <w:ilvl w:val="0"/>
          <w:numId w:val="1"/>
        </w:numPr>
        <w:jc w:val="both"/>
        <w:rPr>
          <w:rFonts w:ascii="Times New Roman" w:hAnsi="Times New Roman" w:cs="Times New Roman"/>
          <w:i/>
        </w:rPr>
      </w:pPr>
      <w:r w:rsidRPr="00FF3EF3">
        <w:rPr>
          <w:rFonts w:ascii="Times New Roman" w:hAnsi="Times New Roman" w:cs="Times New Roman"/>
          <w:i/>
        </w:rPr>
        <w:t>That, for the purposes of energy audits and retro-commissioning, has one or more buildings that exceed 25,000 gross square feet in total combined floor area; and</w:t>
      </w:r>
    </w:p>
    <w:p w:rsidR="00081D97" w:rsidRPr="00FF3EF3" w:rsidRDefault="00081D97" w:rsidP="00FF3EF3">
      <w:pPr>
        <w:numPr>
          <w:ilvl w:val="0"/>
          <w:numId w:val="1"/>
        </w:numPr>
        <w:jc w:val="both"/>
        <w:rPr>
          <w:rFonts w:ascii="Times New Roman" w:hAnsi="Times New Roman" w:cs="Times New Roman"/>
          <w:i/>
        </w:rPr>
      </w:pPr>
      <w:r w:rsidRPr="00FF3EF3">
        <w:rPr>
          <w:rFonts w:ascii="Times New Roman" w:hAnsi="Times New Roman" w:cs="Times New Roman"/>
          <w:i/>
        </w:rPr>
        <w:t>That is owned by the city; and</w:t>
      </w:r>
    </w:p>
    <w:p w:rsidR="00081D97" w:rsidRPr="00FF3EF3" w:rsidRDefault="00081D97" w:rsidP="00FF3EF3">
      <w:pPr>
        <w:numPr>
          <w:ilvl w:val="0"/>
          <w:numId w:val="1"/>
        </w:numPr>
        <w:jc w:val="both"/>
        <w:rPr>
          <w:rFonts w:ascii="Times New Roman" w:hAnsi="Times New Roman" w:cs="Times New Roman"/>
          <w:i/>
        </w:rPr>
      </w:pPr>
      <w:r w:rsidRPr="00FF3EF3">
        <w:rPr>
          <w:rFonts w:ascii="Times New Roman" w:hAnsi="Times New Roman" w:cs="Times New Roman"/>
          <w:i/>
        </w:rPr>
        <w:t>For which the city regularly pays all or part of the annual energy bills.</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Covered non-city property</w:t>
      </w:r>
      <w:r w:rsidR="00081D97" w:rsidRPr="00FF3EF3">
        <w:rPr>
          <w:rFonts w:ascii="Times New Roman" w:hAnsi="Times New Roman" w:cs="Times New Roman"/>
          <w:i/>
        </w:rPr>
        <w:t xml:space="preserve"> means a property, other than covered city property,</w:t>
      </w:r>
    </w:p>
    <w:p w:rsidR="000C5D00" w:rsidRPr="00FF3EF3" w:rsidRDefault="00081D97" w:rsidP="00FF3EF3">
      <w:pPr>
        <w:numPr>
          <w:ilvl w:val="0"/>
          <w:numId w:val="3"/>
        </w:numPr>
        <w:jc w:val="both"/>
        <w:rPr>
          <w:rFonts w:ascii="Times New Roman" w:hAnsi="Times New Roman" w:cs="Times New Roman"/>
          <w:i/>
        </w:rPr>
      </w:pPr>
      <w:r w:rsidRPr="00FF3EF3">
        <w:rPr>
          <w:rFonts w:ascii="Times New Roman" w:hAnsi="Times New Roman" w:cs="Times New Roman"/>
          <w:i/>
        </w:rPr>
        <w:t>That is classified under State of Georgia Property Codes as Class C, E, P, or V; and,</w:t>
      </w:r>
    </w:p>
    <w:p w:rsidR="00081D97" w:rsidRPr="00FF3EF3" w:rsidRDefault="00081D97" w:rsidP="00FF3EF3">
      <w:pPr>
        <w:numPr>
          <w:ilvl w:val="0"/>
          <w:numId w:val="3"/>
        </w:numPr>
        <w:jc w:val="both"/>
        <w:rPr>
          <w:rFonts w:ascii="Times New Roman" w:hAnsi="Times New Roman" w:cs="Times New Roman"/>
          <w:i/>
        </w:rPr>
      </w:pPr>
      <w:r w:rsidRPr="00FF3EF3">
        <w:rPr>
          <w:rFonts w:ascii="Times New Roman" w:hAnsi="Times New Roman" w:cs="Times New Roman"/>
          <w:i/>
        </w:rPr>
        <w:t>That, for the purposes of benchmarking and disclosure, has one or more buildings that toget</w:t>
      </w:r>
      <w:r w:rsidR="0055025A" w:rsidRPr="00FF3EF3">
        <w:rPr>
          <w:rFonts w:ascii="Times New Roman" w:hAnsi="Times New Roman" w:cs="Times New Roman"/>
          <w:i/>
        </w:rPr>
        <w:t>her exceed 50</w:t>
      </w:r>
      <w:r w:rsidRPr="00FF3EF3">
        <w:rPr>
          <w:rFonts w:ascii="Times New Roman" w:hAnsi="Times New Roman" w:cs="Times New Roman"/>
          <w:i/>
        </w:rPr>
        <w:t>,000 gross square feet in total combined floor area; or</w:t>
      </w:r>
    </w:p>
    <w:p w:rsidR="00081D97" w:rsidRPr="00FF3EF3" w:rsidRDefault="00081D97" w:rsidP="00FF3EF3">
      <w:pPr>
        <w:numPr>
          <w:ilvl w:val="0"/>
          <w:numId w:val="3"/>
        </w:numPr>
        <w:jc w:val="both"/>
        <w:rPr>
          <w:rFonts w:ascii="Times New Roman" w:hAnsi="Times New Roman" w:cs="Times New Roman"/>
          <w:i/>
        </w:rPr>
      </w:pPr>
      <w:r w:rsidRPr="00FF3EF3">
        <w:rPr>
          <w:rFonts w:ascii="Times New Roman" w:hAnsi="Times New Roman" w:cs="Times New Roman"/>
          <w:i/>
        </w:rPr>
        <w:t>That has one or more buildings held in the condominium form of ownership that is governed by the same board</w:t>
      </w:r>
      <w:r w:rsidR="0055025A" w:rsidRPr="00FF3EF3">
        <w:rPr>
          <w:rFonts w:ascii="Times New Roman" w:hAnsi="Times New Roman" w:cs="Times New Roman"/>
          <w:i/>
        </w:rPr>
        <w:t xml:space="preserve"> of directors and that exceeds </w:t>
      </w:r>
      <w:r w:rsidRPr="00FF3EF3">
        <w:rPr>
          <w:rFonts w:ascii="Times New Roman" w:hAnsi="Times New Roman" w:cs="Times New Roman"/>
          <w:i/>
        </w:rPr>
        <w:t>5</w:t>
      </w:r>
      <w:r w:rsidR="0055025A" w:rsidRPr="00FF3EF3">
        <w:rPr>
          <w:rFonts w:ascii="Times New Roman" w:hAnsi="Times New Roman" w:cs="Times New Roman"/>
          <w:i/>
        </w:rPr>
        <w:t>0</w:t>
      </w:r>
      <w:r w:rsidRPr="00FF3EF3">
        <w:rPr>
          <w:rFonts w:ascii="Times New Roman" w:hAnsi="Times New Roman" w:cs="Times New Roman"/>
          <w:i/>
        </w:rPr>
        <w:t>,000 gross square feet in total combined floor area; and</w:t>
      </w:r>
    </w:p>
    <w:p w:rsidR="002A3D06" w:rsidRPr="00FF3EF3" w:rsidRDefault="00081D97" w:rsidP="00FF3EF3">
      <w:pPr>
        <w:numPr>
          <w:ilvl w:val="0"/>
          <w:numId w:val="3"/>
        </w:numPr>
        <w:jc w:val="both"/>
        <w:rPr>
          <w:rFonts w:ascii="Times New Roman" w:hAnsi="Times New Roman" w:cs="Times New Roman"/>
          <w:i/>
        </w:rPr>
      </w:pPr>
      <w:r w:rsidRPr="00FF3EF3">
        <w:rPr>
          <w:rFonts w:ascii="Times New Roman" w:hAnsi="Times New Roman" w:cs="Times New Roman"/>
          <w:i/>
        </w:rPr>
        <w:t xml:space="preserve">That, for the purposes of energy audits and retro-commissioning, has one or more </w:t>
      </w:r>
      <w:r w:rsidR="0055025A" w:rsidRPr="00FF3EF3">
        <w:rPr>
          <w:rFonts w:ascii="Times New Roman" w:hAnsi="Times New Roman" w:cs="Times New Roman"/>
          <w:i/>
        </w:rPr>
        <w:t xml:space="preserve">buildings that together exceed </w:t>
      </w:r>
      <w:r w:rsidRPr="00FF3EF3">
        <w:rPr>
          <w:rFonts w:ascii="Times New Roman" w:hAnsi="Times New Roman" w:cs="Times New Roman"/>
          <w:i/>
        </w:rPr>
        <w:t>5</w:t>
      </w:r>
      <w:r w:rsidR="0055025A" w:rsidRPr="00FF3EF3">
        <w:rPr>
          <w:rFonts w:ascii="Times New Roman" w:hAnsi="Times New Roman" w:cs="Times New Roman"/>
          <w:i/>
        </w:rPr>
        <w:t>0</w:t>
      </w:r>
      <w:r w:rsidRPr="00FF3EF3">
        <w:rPr>
          <w:rFonts w:ascii="Times New Roman" w:hAnsi="Times New Roman" w:cs="Times New Roman"/>
          <w:i/>
        </w:rPr>
        <w:t>,000 gross square feet in total combined floor area; or</w:t>
      </w:r>
    </w:p>
    <w:p w:rsidR="00081D97" w:rsidRPr="00FF3EF3" w:rsidRDefault="00081D97" w:rsidP="00FF3EF3">
      <w:pPr>
        <w:numPr>
          <w:ilvl w:val="0"/>
          <w:numId w:val="3"/>
        </w:numPr>
        <w:jc w:val="both"/>
        <w:rPr>
          <w:rFonts w:ascii="Times New Roman" w:hAnsi="Times New Roman" w:cs="Times New Roman"/>
          <w:i/>
        </w:rPr>
      </w:pPr>
      <w:r w:rsidRPr="00FF3EF3">
        <w:rPr>
          <w:rFonts w:ascii="Times New Roman" w:hAnsi="Times New Roman" w:cs="Times New Roman"/>
          <w:i/>
        </w:rPr>
        <w:t>That has one or more buildings held in the condominium form of ownership that is governed by the same board</w:t>
      </w:r>
      <w:r w:rsidR="0055025A" w:rsidRPr="00FF3EF3">
        <w:rPr>
          <w:rFonts w:ascii="Times New Roman" w:hAnsi="Times New Roman" w:cs="Times New Roman"/>
          <w:i/>
        </w:rPr>
        <w:t xml:space="preserve"> of directors and that exceeds </w:t>
      </w:r>
      <w:r w:rsidRPr="00FF3EF3">
        <w:rPr>
          <w:rFonts w:ascii="Times New Roman" w:hAnsi="Times New Roman" w:cs="Times New Roman"/>
          <w:i/>
        </w:rPr>
        <w:t>5</w:t>
      </w:r>
      <w:r w:rsidR="0055025A" w:rsidRPr="00FF3EF3">
        <w:rPr>
          <w:rFonts w:ascii="Times New Roman" w:hAnsi="Times New Roman" w:cs="Times New Roman"/>
          <w:i/>
        </w:rPr>
        <w:t>0</w:t>
      </w:r>
      <w:r w:rsidRPr="00FF3EF3">
        <w:rPr>
          <w:rFonts w:ascii="Times New Roman" w:hAnsi="Times New Roman" w:cs="Times New Roman"/>
          <w:i/>
        </w:rPr>
        <w:t>,000 gross squ</w:t>
      </w:r>
      <w:r w:rsidR="0055025A" w:rsidRPr="00FF3EF3">
        <w:rPr>
          <w:rFonts w:ascii="Times New Roman" w:hAnsi="Times New Roman" w:cs="Times New Roman"/>
          <w:i/>
        </w:rPr>
        <w:t>are feet in combined floor area, or</w:t>
      </w:r>
    </w:p>
    <w:p w:rsidR="0055025A" w:rsidRPr="00FF3EF3" w:rsidRDefault="0055025A" w:rsidP="00FF3EF3">
      <w:pPr>
        <w:numPr>
          <w:ilvl w:val="0"/>
          <w:numId w:val="3"/>
        </w:numPr>
        <w:jc w:val="both"/>
        <w:rPr>
          <w:rFonts w:ascii="Times New Roman" w:hAnsi="Times New Roman" w:cs="Times New Roman"/>
          <w:i/>
        </w:rPr>
      </w:pPr>
      <w:r w:rsidRPr="00FF3EF3">
        <w:rPr>
          <w:rFonts w:ascii="Times New Roman" w:hAnsi="Times New Roman" w:cs="Times New Roman"/>
          <w:i/>
        </w:rPr>
        <w:t>That, after January 1, 2017, meets the criteria set forth in parts a-e of the definition of a covered non-city property, but exceeds 25,000 gross square feet in total combined floor area.</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Covered property</w:t>
      </w:r>
      <w:r w:rsidR="00081D97" w:rsidRPr="00FF3EF3">
        <w:rPr>
          <w:rFonts w:ascii="Times New Roman" w:hAnsi="Times New Roman" w:cs="Times New Roman"/>
          <w:i/>
        </w:rPr>
        <w:t xml:space="preserve"> means any covered city property or covered non-city property</w:t>
      </w:r>
      <w:r w:rsidR="00234DC3" w:rsidRPr="00FF3EF3">
        <w:rPr>
          <w:rFonts w:ascii="Times New Roman" w:hAnsi="Times New Roman" w:cs="Times New Roman"/>
          <w:i/>
        </w:rPr>
        <w:t>.</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Current facility requirements</w:t>
      </w:r>
      <w:r w:rsidR="00081D97" w:rsidRPr="00FF3EF3">
        <w:rPr>
          <w:rFonts w:ascii="Times New Roman" w:hAnsi="Times New Roman" w:cs="Times New Roman"/>
          <w:i/>
        </w:rPr>
        <w:t xml:space="preserve"> means the owner’s current operational needs and requirements for a building, including temperature and humidity set points, operating </w:t>
      </w:r>
      <w:r w:rsidR="00081D97" w:rsidRPr="00FF3EF3">
        <w:rPr>
          <w:rFonts w:ascii="Times New Roman" w:hAnsi="Times New Roman" w:cs="Times New Roman"/>
          <w:i/>
        </w:rPr>
        <w:lastRenderedPageBreak/>
        <w:t>hours, filtration, and any integrated requirements such as controls, warranty review, and service contract review.</w:t>
      </w:r>
    </w:p>
    <w:p w:rsidR="00E36F46" w:rsidRPr="00FF3EF3" w:rsidRDefault="00E36F46" w:rsidP="00FF3EF3">
      <w:pPr>
        <w:jc w:val="both"/>
        <w:rPr>
          <w:rFonts w:ascii="Times New Roman" w:hAnsi="Times New Roman" w:cs="Times New Roman"/>
          <w:i/>
        </w:rPr>
      </w:pPr>
    </w:p>
    <w:p w:rsidR="00E36F46" w:rsidRPr="00FF3EF3" w:rsidRDefault="00D122FD" w:rsidP="00FF3EF3">
      <w:pPr>
        <w:jc w:val="both"/>
        <w:rPr>
          <w:rFonts w:ascii="Times New Roman" w:hAnsi="Times New Roman" w:cs="Times New Roman"/>
          <w:i/>
        </w:rPr>
      </w:pPr>
      <w:r w:rsidRPr="00FF3EF3">
        <w:rPr>
          <w:rFonts w:ascii="Times New Roman" w:hAnsi="Times New Roman" w:cs="Times New Roman"/>
          <w:i/>
        </w:rPr>
        <w:t>D</w:t>
      </w:r>
      <w:r w:rsidR="00DF1752" w:rsidRPr="00FF3EF3">
        <w:rPr>
          <w:rFonts w:ascii="Times New Roman" w:hAnsi="Times New Roman" w:cs="Times New Roman"/>
          <w:i/>
        </w:rPr>
        <w:t>ata a</w:t>
      </w:r>
      <w:r w:rsidRPr="00FF3EF3">
        <w:rPr>
          <w:rFonts w:ascii="Times New Roman" w:hAnsi="Times New Roman" w:cs="Times New Roman"/>
          <w:i/>
        </w:rPr>
        <w:t>ggregation services</w:t>
      </w:r>
      <w:r w:rsidR="00DF1752" w:rsidRPr="00FF3EF3">
        <w:rPr>
          <w:rFonts w:ascii="Times New Roman" w:hAnsi="Times New Roman" w:cs="Times New Roman"/>
          <w:i/>
        </w:rPr>
        <w:t xml:space="preserve"> means services provided by a utility to collect and aggregate the utility data of individually-metered space within a property into one property-wide consumption value.</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 xml:space="preserve">Department </w:t>
      </w:r>
      <w:r w:rsidR="000629DB" w:rsidRPr="00FF3EF3">
        <w:rPr>
          <w:rFonts w:ascii="Times New Roman" w:hAnsi="Times New Roman" w:cs="Times New Roman"/>
          <w:i/>
        </w:rPr>
        <w:t>means the Office of Sustainability or the director of the Offi</w:t>
      </w:r>
      <w:r w:rsidRPr="00FF3EF3">
        <w:rPr>
          <w:rFonts w:ascii="Times New Roman" w:hAnsi="Times New Roman" w:cs="Times New Roman"/>
          <w:i/>
        </w:rPr>
        <w:t>ce of Sustainability’s designee</w:t>
      </w:r>
      <w:r w:rsidR="00E71576" w:rsidRPr="00FF3EF3">
        <w:rPr>
          <w:rFonts w:ascii="Times New Roman" w:hAnsi="Times New Roman" w:cs="Times New Roman"/>
          <w:i/>
        </w:rPr>
        <w:t>, so long as said designee is an employee of the City of Atlanta.</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D</w:t>
      </w:r>
      <w:r w:rsidR="00081D97" w:rsidRPr="00FF3EF3">
        <w:rPr>
          <w:rFonts w:ascii="Times New Roman" w:hAnsi="Times New Roman" w:cs="Times New Roman"/>
          <w:i/>
        </w:rPr>
        <w:t>irec</w:t>
      </w:r>
      <w:r w:rsidRPr="00FF3EF3">
        <w:rPr>
          <w:rFonts w:ascii="Times New Roman" w:hAnsi="Times New Roman" w:cs="Times New Roman"/>
          <w:i/>
        </w:rPr>
        <w:t>tor</w:t>
      </w:r>
      <w:r w:rsidR="000629DB" w:rsidRPr="00FF3EF3">
        <w:rPr>
          <w:rFonts w:ascii="Times New Roman" w:hAnsi="Times New Roman" w:cs="Times New Roman"/>
          <w:i/>
        </w:rPr>
        <w:t xml:space="preserve"> means the director of the </w:t>
      </w:r>
      <w:r w:rsidR="00A07A25" w:rsidRPr="00FF3EF3">
        <w:rPr>
          <w:rFonts w:ascii="Times New Roman" w:hAnsi="Times New Roman" w:cs="Times New Roman"/>
          <w:i/>
        </w:rPr>
        <w:t>Office</w:t>
      </w:r>
      <w:r w:rsidR="00142C30" w:rsidRPr="00FF3EF3">
        <w:rPr>
          <w:rFonts w:ascii="Times New Roman" w:hAnsi="Times New Roman" w:cs="Times New Roman"/>
          <w:i/>
        </w:rPr>
        <w:t xml:space="preserve"> of Buildings</w:t>
      </w:r>
      <w:r w:rsidRPr="00FF3EF3">
        <w:rPr>
          <w:rFonts w:ascii="Times New Roman" w:hAnsi="Times New Roman" w:cs="Times New Roman"/>
          <w:i/>
        </w:rPr>
        <w:t xml:space="preserve"> or the director’s designee</w:t>
      </w:r>
      <w:r w:rsidR="00E71576" w:rsidRPr="00FF3EF3">
        <w:rPr>
          <w:rFonts w:ascii="Times New Roman" w:hAnsi="Times New Roman" w:cs="Times New Roman"/>
          <w:i/>
        </w:rPr>
        <w:t>, so long as said designee is an employee of the City of Atlanta</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D</w:t>
      </w:r>
      <w:r w:rsidR="00081D97" w:rsidRPr="00FF3EF3">
        <w:rPr>
          <w:rFonts w:ascii="Times New Roman" w:hAnsi="Times New Roman" w:cs="Times New Roman"/>
          <w:i/>
        </w:rPr>
        <w:t>isclosed</w:t>
      </w:r>
      <w:r w:rsidRPr="00FF3EF3">
        <w:rPr>
          <w:rFonts w:ascii="Times New Roman" w:hAnsi="Times New Roman" w:cs="Times New Roman"/>
          <w:i/>
        </w:rPr>
        <w:t xml:space="preserve"> benchmarking information</w:t>
      </w:r>
      <w:r w:rsidR="00081D97" w:rsidRPr="00FF3EF3">
        <w:rPr>
          <w:rFonts w:ascii="Times New Roman" w:hAnsi="Times New Roman" w:cs="Times New Roman"/>
          <w:i/>
        </w:rPr>
        <w:t xml:space="preserve"> means information generated by the benchmarking tool or other means and descriptive information about the physical property and its operational characteristics, that is disclosed to the public. The information shall include, but need not be limited to:</w:t>
      </w:r>
    </w:p>
    <w:p w:rsidR="00081D97" w:rsidRPr="00FF3EF3" w:rsidRDefault="00081D97" w:rsidP="00FF3EF3">
      <w:pPr>
        <w:numPr>
          <w:ilvl w:val="0"/>
          <w:numId w:val="5"/>
        </w:numPr>
        <w:jc w:val="both"/>
        <w:rPr>
          <w:rFonts w:ascii="Times New Roman" w:hAnsi="Times New Roman" w:cs="Times New Roman"/>
          <w:i/>
        </w:rPr>
      </w:pPr>
      <w:r w:rsidRPr="00FF3EF3">
        <w:rPr>
          <w:rFonts w:ascii="Times New Roman" w:hAnsi="Times New Roman" w:cs="Times New Roman"/>
          <w:i/>
        </w:rPr>
        <w:t>Descriptive information</w:t>
      </w:r>
    </w:p>
    <w:p w:rsidR="00081D97" w:rsidRPr="00FF3EF3" w:rsidRDefault="00081D97" w:rsidP="00FF3EF3">
      <w:pPr>
        <w:numPr>
          <w:ilvl w:val="1"/>
          <w:numId w:val="5"/>
        </w:numPr>
        <w:jc w:val="both"/>
        <w:rPr>
          <w:rFonts w:ascii="Times New Roman" w:hAnsi="Times New Roman" w:cs="Times New Roman"/>
          <w:i/>
        </w:rPr>
      </w:pPr>
      <w:r w:rsidRPr="00FF3EF3">
        <w:rPr>
          <w:rFonts w:ascii="Times New Roman" w:hAnsi="Times New Roman" w:cs="Times New Roman"/>
          <w:i/>
        </w:rPr>
        <w:t>Property address;</w:t>
      </w:r>
    </w:p>
    <w:p w:rsidR="00081D97" w:rsidRPr="00FF3EF3" w:rsidRDefault="00081D97" w:rsidP="00FF3EF3">
      <w:pPr>
        <w:numPr>
          <w:ilvl w:val="1"/>
          <w:numId w:val="5"/>
        </w:numPr>
        <w:jc w:val="both"/>
        <w:rPr>
          <w:rFonts w:ascii="Times New Roman" w:hAnsi="Times New Roman" w:cs="Times New Roman"/>
          <w:i/>
        </w:rPr>
      </w:pPr>
      <w:r w:rsidRPr="00FF3EF3">
        <w:rPr>
          <w:rFonts w:ascii="Times New Roman" w:hAnsi="Times New Roman" w:cs="Times New Roman"/>
          <w:i/>
        </w:rPr>
        <w:t>Primary use type;</w:t>
      </w:r>
    </w:p>
    <w:p w:rsidR="00081D97" w:rsidRPr="00FF3EF3" w:rsidRDefault="00081D97" w:rsidP="00FF3EF3">
      <w:pPr>
        <w:numPr>
          <w:ilvl w:val="1"/>
          <w:numId w:val="5"/>
        </w:numPr>
        <w:jc w:val="both"/>
        <w:rPr>
          <w:rFonts w:ascii="Times New Roman" w:hAnsi="Times New Roman" w:cs="Times New Roman"/>
          <w:i/>
        </w:rPr>
      </w:pPr>
      <w:r w:rsidRPr="00FF3EF3">
        <w:rPr>
          <w:rFonts w:ascii="Times New Roman" w:hAnsi="Times New Roman" w:cs="Times New Roman"/>
          <w:i/>
        </w:rPr>
        <w:t>Gross floor area as defined by ENERGY STAR Portfolio Manager’s glossary;</w:t>
      </w:r>
    </w:p>
    <w:p w:rsidR="00081D97" w:rsidRPr="00FF3EF3" w:rsidRDefault="00081D97" w:rsidP="00FF3EF3">
      <w:pPr>
        <w:numPr>
          <w:ilvl w:val="0"/>
          <w:numId w:val="5"/>
        </w:numPr>
        <w:jc w:val="both"/>
        <w:rPr>
          <w:rFonts w:ascii="Times New Roman" w:hAnsi="Times New Roman" w:cs="Times New Roman"/>
          <w:i/>
        </w:rPr>
      </w:pPr>
      <w:r w:rsidRPr="00FF3EF3">
        <w:rPr>
          <w:rFonts w:ascii="Times New Roman" w:hAnsi="Times New Roman" w:cs="Times New Roman"/>
          <w:i/>
        </w:rPr>
        <w:t>Output information</w:t>
      </w:r>
    </w:p>
    <w:p w:rsidR="00081D97" w:rsidRPr="00FF3EF3" w:rsidRDefault="00081D97" w:rsidP="00FF3EF3">
      <w:pPr>
        <w:numPr>
          <w:ilvl w:val="1"/>
          <w:numId w:val="5"/>
        </w:numPr>
        <w:jc w:val="both"/>
        <w:rPr>
          <w:rFonts w:ascii="Times New Roman" w:hAnsi="Times New Roman" w:cs="Times New Roman"/>
          <w:i/>
        </w:rPr>
      </w:pPr>
      <w:r w:rsidRPr="00FF3EF3">
        <w:rPr>
          <w:rFonts w:ascii="Times New Roman" w:hAnsi="Times New Roman" w:cs="Times New Roman"/>
          <w:i/>
        </w:rPr>
        <w:t>Site energy use intensity (Site EUI);</w:t>
      </w:r>
    </w:p>
    <w:p w:rsidR="00081D97" w:rsidRPr="00FF3EF3" w:rsidRDefault="00081D97" w:rsidP="00FF3EF3">
      <w:pPr>
        <w:numPr>
          <w:ilvl w:val="1"/>
          <w:numId w:val="5"/>
        </w:numPr>
        <w:jc w:val="both"/>
        <w:rPr>
          <w:rFonts w:ascii="Times New Roman" w:hAnsi="Times New Roman" w:cs="Times New Roman"/>
          <w:i/>
        </w:rPr>
      </w:pPr>
      <w:r w:rsidRPr="00FF3EF3">
        <w:rPr>
          <w:rFonts w:ascii="Times New Roman" w:hAnsi="Times New Roman" w:cs="Times New Roman"/>
          <w:i/>
        </w:rPr>
        <w:t>Weather normalized site energy use intensity (Site EUI);</w:t>
      </w:r>
    </w:p>
    <w:p w:rsidR="00081D97" w:rsidRPr="00FF3EF3" w:rsidRDefault="00081D97" w:rsidP="00FF3EF3">
      <w:pPr>
        <w:numPr>
          <w:ilvl w:val="1"/>
          <w:numId w:val="5"/>
        </w:numPr>
        <w:jc w:val="both"/>
        <w:rPr>
          <w:rFonts w:ascii="Times New Roman" w:hAnsi="Times New Roman" w:cs="Times New Roman"/>
          <w:i/>
        </w:rPr>
      </w:pPr>
      <w:r w:rsidRPr="00FF3EF3">
        <w:rPr>
          <w:rFonts w:ascii="Times New Roman" w:hAnsi="Times New Roman" w:cs="Times New Roman"/>
          <w:i/>
        </w:rPr>
        <w:t>Total annual greenhouse gas emissions;</w:t>
      </w:r>
    </w:p>
    <w:p w:rsidR="00081D97" w:rsidRPr="00FF3EF3" w:rsidRDefault="00081D97" w:rsidP="00FF3EF3">
      <w:pPr>
        <w:numPr>
          <w:ilvl w:val="1"/>
          <w:numId w:val="5"/>
        </w:numPr>
        <w:jc w:val="both"/>
        <w:rPr>
          <w:rFonts w:ascii="Times New Roman" w:hAnsi="Times New Roman" w:cs="Times New Roman"/>
          <w:i/>
        </w:rPr>
      </w:pPr>
      <w:r w:rsidRPr="00FF3EF3">
        <w:rPr>
          <w:rFonts w:ascii="Times New Roman" w:hAnsi="Times New Roman" w:cs="Times New Roman"/>
          <w:i/>
        </w:rPr>
        <w:t>Water use per gross square foot;</w:t>
      </w:r>
    </w:p>
    <w:p w:rsidR="00081D97" w:rsidRPr="00FF3EF3" w:rsidRDefault="00081D97" w:rsidP="00FF3EF3">
      <w:pPr>
        <w:numPr>
          <w:ilvl w:val="1"/>
          <w:numId w:val="5"/>
        </w:numPr>
        <w:jc w:val="both"/>
        <w:rPr>
          <w:rFonts w:ascii="Times New Roman" w:hAnsi="Times New Roman" w:cs="Times New Roman"/>
          <w:i/>
        </w:rPr>
      </w:pPr>
      <w:r w:rsidRPr="00FF3EF3">
        <w:rPr>
          <w:rFonts w:ascii="Times New Roman" w:hAnsi="Times New Roman" w:cs="Times New Roman"/>
          <w:i/>
        </w:rPr>
        <w:t>The ENERGY STAR score, where available; and</w:t>
      </w:r>
    </w:p>
    <w:p w:rsidR="00081D97" w:rsidRPr="00FF3EF3" w:rsidRDefault="00081D97" w:rsidP="00FF3EF3">
      <w:pPr>
        <w:numPr>
          <w:ilvl w:val="0"/>
          <w:numId w:val="5"/>
        </w:numPr>
        <w:jc w:val="both"/>
        <w:rPr>
          <w:rFonts w:ascii="Times New Roman" w:hAnsi="Times New Roman" w:cs="Times New Roman"/>
          <w:i/>
        </w:rPr>
      </w:pPr>
      <w:r w:rsidRPr="00FF3EF3">
        <w:rPr>
          <w:rFonts w:ascii="Times New Roman" w:hAnsi="Times New Roman" w:cs="Times New Roman"/>
          <w:i/>
        </w:rPr>
        <w:t>Compliance or noncompliance with this ordinance.</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 xml:space="preserve">Energy </w:t>
      </w:r>
      <w:r w:rsidR="00081D97" w:rsidRPr="00FF3EF3">
        <w:rPr>
          <w:rFonts w:ascii="Times New Roman" w:hAnsi="Times New Roman" w:cs="Times New Roman"/>
          <w:i/>
        </w:rPr>
        <w:t>means electricity, natural gas, steam, heating oil, or other product sold by a utility to a customer of a property, or on-site electricity generation, for purposes of providing heating, cooling, lighting, water heating, or for powering or fueling other end-uses captured by ENERGY STAR Portfolio Manager.</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E</w:t>
      </w:r>
      <w:r w:rsidR="00081D97" w:rsidRPr="00FF3EF3">
        <w:rPr>
          <w:rFonts w:ascii="Times New Roman" w:hAnsi="Times New Roman" w:cs="Times New Roman"/>
          <w:i/>
        </w:rPr>
        <w:t>nerg</w:t>
      </w:r>
      <w:r w:rsidRPr="00FF3EF3">
        <w:rPr>
          <w:rFonts w:ascii="Times New Roman" w:hAnsi="Times New Roman" w:cs="Times New Roman"/>
          <w:i/>
        </w:rPr>
        <w:t>y and water audit or audit</w:t>
      </w:r>
      <w:r w:rsidR="00081D97" w:rsidRPr="00FF3EF3">
        <w:rPr>
          <w:rFonts w:ascii="Times New Roman" w:hAnsi="Times New Roman" w:cs="Times New Roman"/>
          <w:i/>
        </w:rPr>
        <w:t xml:space="preserve"> means a systematic process of identifying and developing modifications and improvements of the base building systems, including but not limited to alterations of such systems and the installation of new equipment, insulation or other generally recognized energy and water efficiency technologies to optimize energy and water use performance of the building and achieve energy and water savings, provided that such process </w:t>
      </w:r>
      <w:r w:rsidR="00E55790" w:rsidRPr="00FF3EF3">
        <w:rPr>
          <w:rFonts w:ascii="Times New Roman" w:hAnsi="Times New Roman" w:cs="Times New Roman"/>
          <w:i/>
        </w:rPr>
        <w:t>shall be at least as stringent as or comparable to the</w:t>
      </w:r>
      <w:r w:rsidR="002316AA" w:rsidRPr="00FF3EF3">
        <w:rPr>
          <w:rFonts w:ascii="Times New Roman" w:hAnsi="Times New Roman" w:cs="Times New Roman"/>
          <w:i/>
        </w:rPr>
        <w:t xml:space="preserve"> Level </w:t>
      </w:r>
      <w:r w:rsidR="00E55790" w:rsidRPr="00FF3EF3">
        <w:rPr>
          <w:rFonts w:ascii="Times New Roman" w:hAnsi="Times New Roman" w:cs="Times New Roman"/>
          <w:i/>
        </w:rPr>
        <w:t>I</w:t>
      </w:r>
      <w:r w:rsidR="002316AA" w:rsidRPr="00FF3EF3">
        <w:rPr>
          <w:rFonts w:ascii="Times New Roman" w:hAnsi="Times New Roman" w:cs="Times New Roman"/>
          <w:i/>
        </w:rPr>
        <w:t xml:space="preserve">I </w:t>
      </w:r>
      <w:r w:rsidR="00081D97" w:rsidRPr="00FF3EF3">
        <w:rPr>
          <w:rFonts w:ascii="Times New Roman" w:hAnsi="Times New Roman" w:cs="Times New Roman"/>
          <w:i/>
        </w:rPr>
        <w:t xml:space="preserve">Energy Survey and Engineering Analysis of the most recent edition of Procedures for Commercial Building Energy Audits published by the American Society of Heating, Refrigerating and Air-conditioning Engineers Inc. (ASHRAE). </w:t>
      </w:r>
      <w:r w:rsidR="00D7590B" w:rsidRPr="00FF3EF3">
        <w:rPr>
          <w:rFonts w:ascii="Times New Roman" w:hAnsi="Times New Roman" w:cs="Times New Roman"/>
          <w:i/>
        </w:rPr>
        <w:t xml:space="preserve">No-cost/reduced cost energy audits provided </w:t>
      </w:r>
      <w:r w:rsidR="002B7140" w:rsidRPr="00FF3EF3">
        <w:rPr>
          <w:rFonts w:ascii="Times New Roman" w:hAnsi="Times New Roman" w:cs="Times New Roman"/>
          <w:i/>
        </w:rPr>
        <w:t xml:space="preserve">for commercial customers that approximate the standard required under this definition of an energy audit shall qualify for compliance with the </w:t>
      </w:r>
      <w:r w:rsidR="002B7140" w:rsidRPr="00FF3EF3">
        <w:rPr>
          <w:rFonts w:ascii="Times New Roman" w:hAnsi="Times New Roman" w:cs="Times New Roman"/>
          <w:i/>
        </w:rPr>
        <w:lastRenderedPageBreak/>
        <w:t>energy audit requirements of Article J</w:t>
      </w:r>
      <w:r w:rsidR="00D7590B" w:rsidRPr="00FF3EF3">
        <w:rPr>
          <w:rFonts w:ascii="Times New Roman" w:hAnsi="Times New Roman" w:cs="Times New Roman"/>
          <w:i/>
        </w:rPr>
        <w:t>, as determined by the Department</w:t>
      </w:r>
      <w:r w:rsidR="002B7140" w:rsidRPr="00FF3EF3">
        <w:rPr>
          <w:rFonts w:ascii="Times New Roman" w:hAnsi="Times New Roman" w:cs="Times New Roman"/>
          <w:i/>
        </w:rPr>
        <w:t xml:space="preserve">. </w:t>
      </w:r>
      <w:r w:rsidR="00081D97" w:rsidRPr="00FF3EF3">
        <w:rPr>
          <w:rFonts w:ascii="Times New Roman" w:hAnsi="Times New Roman" w:cs="Times New Roman"/>
          <w:i/>
        </w:rPr>
        <w:t>Water audits shall not be required until</w:t>
      </w:r>
      <w:r w:rsidR="005A5AB0" w:rsidRPr="00FF3EF3">
        <w:rPr>
          <w:rFonts w:ascii="Times New Roman" w:hAnsi="Times New Roman" w:cs="Times New Roman"/>
          <w:i/>
        </w:rPr>
        <w:t xml:space="preserve"> the calendar year after</w:t>
      </w:r>
      <w:r w:rsidR="00081D97" w:rsidRPr="00FF3EF3">
        <w:rPr>
          <w:rFonts w:ascii="Times New Roman" w:hAnsi="Times New Roman" w:cs="Times New Roman"/>
          <w:i/>
        </w:rPr>
        <w:t xml:space="preserve"> the </w:t>
      </w:r>
      <w:r w:rsidR="00251CC4" w:rsidRPr="00FF3EF3">
        <w:rPr>
          <w:rFonts w:ascii="Times New Roman" w:hAnsi="Times New Roman" w:cs="Times New Roman"/>
          <w:i/>
        </w:rPr>
        <w:t>Department</w:t>
      </w:r>
      <w:r w:rsidR="00081D97" w:rsidRPr="00FF3EF3">
        <w:rPr>
          <w:rFonts w:ascii="Times New Roman" w:hAnsi="Times New Roman" w:cs="Times New Roman"/>
          <w:i/>
        </w:rPr>
        <w:t xml:space="preserve"> determines that appropriate stand</w:t>
      </w:r>
      <w:r w:rsidR="00B33345" w:rsidRPr="00FF3EF3">
        <w:rPr>
          <w:rFonts w:ascii="Times New Roman" w:hAnsi="Times New Roman" w:cs="Times New Roman"/>
          <w:i/>
        </w:rPr>
        <w:t>ards and certifications exist</w:t>
      </w:r>
      <w:r w:rsidR="00333236" w:rsidRPr="00FF3EF3">
        <w:rPr>
          <w:rFonts w:ascii="Times New Roman" w:hAnsi="Times New Roman" w:cs="Times New Roman"/>
          <w:i/>
        </w:rPr>
        <w:t xml:space="preserve"> and must utilize the procedure for new rules detailed in Section 8-2235</w:t>
      </w:r>
      <w:r w:rsidR="00B33345" w:rsidRPr="00FF3EF3">
        <w:rPr>
          <w:rFonts w:ascii="Times New Roman" w:hAnsi="Times New Roman" w:cs="Times New Roman"/>
          <w:i/>
        </w:rPr>
        <w:t>.</w:t>
      </w:r>
    </w:p>
    <w:p w:rsidR="00081D97" w:rsidRPr="00FF3EF3" w:rsidRDefault="00081D97" w:rsidP="00FF3EF3">
      <w:pPr>
        <w:jc w:val="both"/>
        <w:rPr>
          <w:rFonts w:ascii="Times New Roman" w:hAnsi="Times New Roman" w:cs="Times New Roman"/>
          <w:i/>
        </w:rPr>
      </w:pPr>
    </w:p>
    <w:p w:rsidR="00DF0B81" w:rsidRPr="00FF3EF3" w:rsidRDefault="00D122FD" w:rsidP="00FF3EF3">
      <w:pPr>
        <w:jc w:val="both"/>
        <w:rPr>
          <w:rFonts w:ascii="Times New Roman" w:hAnsi="Times New Roman" w:cs="Times New Roman"/>
          <w:i/>
        </w:rPr>
      </w:pPr>
      <w:r w:rsidRPr="00FF3EF3">
        <w:rPr>
          <w:rFonts w:ascii="Times New Roman" w:hAnsi="Times New Roman" w:cs="Times New Roman"/>
          <w:i/>
        </w:rPr>
        <w:t xml:space="preserve">Energy auditor </w:t>
      </w:r>
      <w:r w:rsidR="00081D97" w:rsidRPr="00FF3EF3">
        <w:rPr>
          <w:rFonts w:ascii="Times New Roman" w:hAnsi="Times New Roman" w:cs="Times New Roman"/>
          <w:i/>
        </w:rPr>
        <w:t>means an individual</w:t>
      </w:r>
      <w:r w:rsidR="009E1670" w:rsidRPr="00FF3EF3">
        <w:rPr>
          <w:rFonts w:ascii="Times New Roman" w:hAnsi="Times New Roman" w:cs="Times New Roman"/>
          <w:i/>
        </w:rPr>
        <w:t xml:space="preserve"> </w:t>
      </w:r>
      <w:r w:rsidR="00081D97" w:rsidRPr="00FF3EF3">
        <w:rPr>
          <w:rFonts w:ascii="Times New Roman" w:hAnsi="Times New Roman" w:cs="Times New Roman"/>
          <w:i/>
        </w:rPr>
        <w:t>possessing</w:t>
      </w:r>
      <w:r w:rsidR="00DF0B81" w:rsidRPr="00FF3EF3">
        <w:rPr>
          <w:rFonts w:ascii="Times New Roman" w:hAnsi="Times New Roman" w:cs="Times New Roman"/>
          <w:i/>
        </w:rPr>
        <w:t xml:space="preserve"> one or more</w:t>
      </w:r>
      <w:r w:rsidR="00081D97" w:rsidRPr="00FF3EF3">
        <w:rPr>
          <w:rFonts w:ascii="Times New Roman" w:hAnsi="Times New Roman" w:cs="Times New Roman"/>
          <w:i/>
        </w:rPr>
        <w:t xml:space="preserve"> </w:t>
      </w:r>
      <w:r w:rsidR="00E93D27" w:rsidRPr="00FF3EF3">
        <w:rPr>
          <w:rFonts w:ascii="Times New Roman" w:hAnsi="Times New Roman" w:cs="Times New Roman"/>
          <w:i/>
        </w:rPr>
        <w:t>certification(s)</w:t>
      </w:r>
      <w:r w:rsidR="0055025A" w:rsidRPr="00FF3EF3">
        <w:rPr>
          <w:rFonts w:ascii="Times New Roman" w:hAnsi="Times New Roman" w:cs="Times New Roman"/>
          <w:i/>
        </w:rPr>
        <w:t xml:space="preserve"> as </w:t>
      </w:r>
      <w:r w:rsidR="00DF0B81" w:rsidRPr="00FF3EF3">
        <w:rPr>
          <w:rFonts w:ascii="Times New Roman" w:hAnsi="Times New Roman" w:cs="Times New Roman"/>
          <w:i/>
        </w:rPr>
        <w:t>follows:</w:t>
      </w:r>
    </w:p>
    <w:p w:rsidR="00DF0B81" w:rsidRPr="00FF3EF3" w:rsidRDefault="0055025A" w:rsidP="00FF3EF3">
      <w:pPr>
        <w:numPr>
          <w:ilvl w:val="0"/>
          <w:numId w:val="10"/>
        </w:numPr>
        <w:jc w:val="both"/>
        <w:rPr>
          <w:rFonts w:ascii="Times New Roman" w:hAnsi="Times New Roman" w:cs="Times New Roman"/>
          <w:i/>
        </w:rPr>
      </w:pPr>
      <w:r w:rsidRPr="00FF3EF3">
        <w:rPr>
          <w:rFonts w:ascii="Times New Roman" w:hAnsi="Times New Roman" w:cs="Times New Roman"/>
          <w:i/>
        </w:rPr>
        <w:t>a registered architect,</w:t>
      </w:r>
      <w:r w:rsidR="00E93D27" w:rsidRPr="00FF3EF3">
        <w:rPr>
          <w:rFonts w:ascii="Times New Roman" w:hAnsi="Times New Roman" w:cs="Times New Roman"/>
          <w:i/>
        </w:rPr>
        <w:t xml:space="preserve"> professional engineer,</w:t>
      </w:r>
      <w:r w:rsidRPr="00FF3EF3">
        <w:rPr>
          <w:rFonts w:ascii="Times New Roman" w:hAnsi="Times New Roman" w:cs="Times New Roman"/>
          <w:i/>
        </w:rPr>
        <w:t xml:space="preserve"> or certified energy manager</w:t>
      </w:r>
      <w:r w:rsidR="00DF0B81" w:rsidRPr="00FF3EF3">
        <w:rPr>
          <w:rFonts w:ascii="Times New Roman" w:hAnsi="Times New Roman" w:cs="Times New Roman"/>
          <w:i/>
        </w:rPr>
        <w:t xml:space="preserve"> with 2 or more years of auditing experience;</w:t>
      </w:r>
    </w:p>
    <w:p w:rsidR="00DF0B81" w:rsidRPr="00FF3EF3" w:rsidRDefault="00DF0B81" w:rsidP="00FF3EF3">
      <w:pPr>
        <w:numPr>
          <w:ilvl w:val="0"/>
          <w:numId w:val="10"/>
        </w:numPr>
        <w:jc w:val="both"/>
        <w:rPr>
          <w:rFonts w:ascii="Times New Roman" w:hAnsi="Times New Roman" w:cs="Times New Roman"/>
          <w:i/>
        </w:rPr>
      </w:pPr>
      <w:r w:rsidRPr="00FF3EF3">
        <w:rPr>
          <w:rFonts w:ascii="Times New Roman" w:hAnsi="Times New Roman" w:cs="Times New Roman"/>
          <w:i/>
        </w:rPr>
        <w:t xml:space="preserve">an individual with </w:t>
      </w:r>
      <w:r w:rsidR="001D6C8F" w:rsidRPr="00FF3EF3">
        <w:rPr>
          <w:rFonts w:ascii="Times New Roman" w:hAnsi="Times New Roman" w:cs="Times New Roman"/>
          <w:i/>
        </w:rPr>
        <w:t>auditing certification(s) from the Association of Energy Engineers, the Associated Air Balance Counci</w:t>
      </w:r>
      <w:r w:rsidR="00576C1C" w:rsidRPr="00FF3EF3">
        <w:rPr>
          <w:rFonts w:ascii="Times New Roman" w:hAnsi="Times New Roman" w:cs="Times New Roman"/>
          <w:i/>
        </w:rPr>
        <w:t>l, or the American Society of H</w:t>
      </w:r>
      <w:r w:rsidR="001D6C8F" w:rsidRPr="00FF3EF3">
        <w:rPr>
          <w:rFonts w:ascii="Times New Roman" w:hAnsi="Times New Roman" w:cs="Times New Roman"/>
          <w:i/>
        </w:rPr>
        <w:t xml:space="preserve">eating, Refrigerating, </w:t>
      </w:r>
      <w:r w:rsidR="00D07D2F" w:rsidRPr="00FF3EF3">
        <w:rPr>
          <w:rFonts w:ascii="Times New Roman" w:hAnsi="Times New Roman" w:cs="Times New Roman"/>
          <w:i/>
        </w:rPr>
        <w:t>and Air-Conditioning Engineers</w:t>
      </w:r>
      <w:r w:rsidR="001777CF" w:rsidRPr="00FF3EF3">
        <w:rPr>
          <w:rFonts w:ascii="Times New Roman" w:hAnsi="Times New Roman" w:cs="Times New Roman"/>
          <w:i/>
        </w:rPr>
        <w:t xml:space="preserve"> with 2 or more years of auditing experience</w:t>
      </w:r>
      <w:r w:rsidR="00D07D2F" w:rsidRPr="00FF3EF3">
        <w:rPr>
          <w:rFonts w:ascii="Times New Roman" w:hAnsi="Times New Roman" w:cs="Times New Roman"/>
          <w:i/>
        </w:rPr>
        <w:t>;</w:t>
      </w:r>
    </w:p>
    <w:p w:rsidR="001D6C8F" w:rsidRPr="00FF3EF3" w:rsidRDefault="001D6C8F" w:rsidP="00FF3EF3">
      <w:pPr>
        <w:numPr>
          <w:ilvl w:val="0"/>
          <w:numId w:val="10"/>
        </w:numPr>
        <w:jc w:val="both"/>
        <w:rPr>
          <w:rFonts w:ascii="Times New Roman" w:hAnsi="Times New Roman" w:cs="Times New Roman"/>
          <w:i/>
        </w:rPr>
      </w:pPr>
      <w:r w:rsidRPr="00FF3EF3">
        <w:rPr>
          <w:rFonts w:ascii="Times New Roman" w:hAnsi="Times New Roman" w:cs="Times New Roman"/>
          <w:i/>
        </w:rPr>
        <w:t>An individual or firm with 5 or mo</w:t>
      </w:r>
      <w:r w:rsidR="00D07D2F" w:rsidRPr="00FF3EF3">
        <w:rPr>
          <w:rFonts w:ascii="Times New Roman" w:hAnsi="Times New Roman" w:cs="Times New Roman"/>
          <w:i/>
        </w:rPr>
        <w:t>re years of auditing experience;</w:t>
      </w:r>
    </w:p>
    <w:p w:rsidR="00D07D2F" w:rsidRPr="00FF3EF3" w:rsidRDefault="00D07D2F" w:rsidP="00FF3EF3">
      <w:pPr>
        <w:numPr>
          <w:ilvl w:val="0"/>
          <w:numId w:val="10"/>
        </w:numPr>
        <w:jc w:val="both"/>
        <w:rPr>
          <w:rFonts w:ascii="Times New Roman" w:hAnsi="Times New Roman" w:cs="Times New Roman"/>
          <w:i/>
        </w:rPr>
      </w:pPr>
      <w:r w:rsidRPr="00FF3EF3">
        <w:rPr>
          <w:rFonts w:ascii="Times New Roman" w:hAnsi="Times New Roman" w:cs="Times New Roman"/>
          <w:i/>
        </w:rPr>
        <w:t xml:space="preserve">An individual with the </w:t>
      </w:r>
      <w:r w:rsidR="00725EAD" w:rsidRPr="00FF3EF3">
        <w:rPr>
          <w:rFonts w:ascii="Times New Roman" w:hAnsi="Times New Roman" w:cs="Times New Roman"/>
          <w:i/>
        </w:rPr>
        <w:t>certifications</w:t>
      </w:r>
      <w:r w:rsidRPr="00FF3EF3">
        <w:rPr>
          <w:rFonts w:ascii="Times New Roman" w:hAnsi="Times New Roman" w:cs="Times New Roman"/>
          <w:i/>
        </w:rPr>
        <w:t xml:space="preserve"> described in (a) or (b) with 2 or more years of building energy management</w:t>
      </w:r>
      <w:r w:rsidR="00CB1383" w:rsidRPr="00FF3EF3">
        <w:rPr>
          <w:rFonts w:ascii="Times New Roman" w:hAnsi="Times New Roman" w:cs="Times New Roman"/>
          <w:i/>
        </w:rPr>
        <w:t xml:space="preserve"> experience</w:t>
      </w:r>
      <w:r w:rsidRPr="00FF3EF3">
        <w:rPr>
          <w:rFonts w:ascii="Times New Roman" w:hAnsi="Times New Roman" w:cs="Times New Roman"/>
          <w:i/>
        </w:rPr>
        <w:t xml:space="preserve"> in the building undertaking an energy audit.</w:t>
      </w:r>
    </w:p>
    <w:p w:rsidR="00B95CAE" w:rsidRPr="00FF3EF3" w:rsidRDefault="00E93D27" w:rsidP="00FF3EF3">
      <w:pPr>
        <w:jc w:val="both"/>
        <w:rPr>
          <w:rFonts w:ascii="Times New Roman" w:hAnsi="Times New Roman" w:cs="Times New Roman"/>
          <w:i/>
        </w:rPr>
      </w:pPr>
      <w:r w:rsidRPr="00FF3EF3">
        <w:rPr>
          <w:rFonts w:ascii="Times New Roman" w:hAnsi="Times New Roman" w:cs="Times New Roman"/>
          <w:i/>
        </w:rPr>
        <w:t>Individuals possessing said certifications may</w:t>
      </w:r>
      <w:r w:rsidR="00081D97" w:rsidRPr="00FF3EF3">
        <w:rPr>
          <w:rFonts w:ascii="Times New Roman" w:hAnsi="Times New Roman" w:cs="Times New Roman"/>
          <w:i/>
        </w:rPr>
        <w:t xml:space="preserve"> perform or directly supervise individuals</w:t>
      </w:r>
      <w:r w:rsidRPr="00FF3EF3">
        <w:rPr>
          <w:rFonts w:ascii="Times New Roman" w:hAnsi="Times New Roman" w:cs="Times New Roman"/>
          <w:i/>
        </w:rPr>
        <w:t xml:space="preserve"> performing energy audits and</w:t>
      </w:r>
      <w:r w:rsidR="00081D97" w:rsidRPr="00FF3EF3">
        <w:rPr>
          <w:rFonts w:ascii="Times New Roman" w:hAnsi="Times New Roman" w:cs="Times New Roman"/>
          <w:i/>
        </w:rPr>
        <w:t xml:space="preserve"> certify audit reports required by this ordinance</w:t>
      </w:r>
      <w:r w:rsidR="009E1670" w:rsidRPr="00FF3EF3">
        <w:rPr>
          <w:rFonts w:ascii="Times New Roman" w:hAnsi="Times New Roman" w:cs="Times New Roman"/>
          <w:i/>
        </w:rPr>
        <w:t>.</w:t>
      </w:r>
      <w:r w:rsidR="00081D97" w:rsidRPr="00FF3EF3">
        <w:rPr>
          <w:rFonts w:ascii="Times New Roman" w:hAnsi="Times New Roman" w:cs="Times New Roman"/>
          <w:i/>
        </w:rPr>
        <w:t xml:space="preserve"> After the establishment of a </w:t>
      </w:r>
      <w:r w:rsidR="001D6C8F" w:rsidRPr="00FF3EF3">
        <w:rPr>
          <w:rFonts w:ascii="Times New Roman" w:hAnsi="Times New Roman" w:cs="Times New Roman"/>
          <w:i/>
        </w:rPr>
        <w:t>US Department of Energy (</w:t>
      </w:r>
      <w:r w:rsidR="00081D97" w:rsidRPr="00FF3EF3">
        <w:rPr>
          <w:rFonts w:ascii="Times New Roman" w:hAnsi="Times New Roman" w:cs="Times New Roman"/>
          <w:i/>
        </w:rPr>
        <w:t>DOE</w:t>
      </w:r>
      <w:r w:rsidR="001D6C8F" w:rsidRPr="00FF3EF3">
        <w:rPr>
          <w:rFonts w:ascii="Times New Roman" w:hAnsi="Times New Roman" w:cs="Times New Roman"/>
          <w:i/>
        </w:rPr>
        <w:t>)</w:t>
      </w:r>
      <w:r w:rsidR="00081D97" w:rsidRPr="00FF3EF3">
        <w:rPr>
          <w:rFonts w:ascii="Times New Roman" w:hAnsi="Times New Roman" w:cs="Times New Roman"/>
          <w:i/>
        </w:rPr>
        <w:t xml:space="preserve">-recognized standard, the </w:t>
      </w:r>
      <w:r w:rsidR="00251CC4" w:rsidRPr="00FF3EF3">
        <w:rPr>
          <w:rFonts w:ascii="Times New Roman" w:hAnsi="Times New Roman" w:cs="Times New Roman"/>
          <w:i/>
        </w:rPr>
        <w:t>Department</w:t>
      </w:r>
      <w:r w:rsidR="00081D97" w:rsidRPr="00FF3EF3">
        <w:rPr>
          <w:rFonts w:ascii="Times New Roman" w:hAnsi="Times New Roman" w:cs="Times New Roman"/>
          <w:i/>
        </w:rPr>
        <w:t xml:space="preserve"> may adopt the qualifications of the DOE-recognized standard with modifications as the </w:t>
      </w:r>
      <w:r w:rsidR="00251CC4" w:rsidRPr="00FF3EF3">
        <w:rPr>
          <w:rFonts w:ascii="Times New Roman" w:hAnsi="Times New Roman" w:cs="Times New Roman"/>
          <w:i/>
        </w:rPr>
        <w:t>Department</w:t>
      </w:r>
      <w:r w:rsidR="00081D97" w:rsidRPr="00FF3EF3">
        <w:rPr>
          <w:rFonts w:ascii="Times New Roman" w:hAnsi="Times New Roman" w:cs="Times New Roman"/>
          <w:i/>
        </w:rPr>
        <w:t xml:space="preserve"> deems to be appropriate.</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Energy management system</w:t>
      </w:r>
      <w:r w:rsidR="00081D97" w:rsidRPr="00FF3EF3">
        <w:rPr>
          <w:rFonts w:ascii="Times New Roman" w:hAnsi="Times New Roman" w:cs="Times New Roman"/>
          <w:i/>
        </w:rPr>
        <w:t xml:space="preserve"> means a system incorporating interior temperature sensors and a central processing unit and controls, which are used to monitor and control gas, steam and oil usage, as is applicable.</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ENERGY STAR score</w:t>
      </w:r>
      <w:r w:rsidR="00081D97" w:rsidRPr="00FF3EF3">
        <w:rPr>
          <w:rFonts w:ascii="Times New Roman" w:hAnsi="Times New Roman" w:cs="Times New Roman"/>
          <w:i/>
        </w:rPr>
        <w:t xml:space="preserve"> means the 1-100 numeric rating generated by the ENERGY STAR Portfolio Manager tool</w:t>
      </w:r>
    </w:p>
    <w:p w:rsidR="00081D97" w:rsidRPr="00FF3EF3" w:rsidRDefault="00081D97" w:rsidP="00FF3EF3">
      <w:pPr>
        <w:jc w:val="both"/>
        <w:rPr>
          <w:rFonts w:ascii="Times New Roman" w:hAnsi="Times New Roman" w:cs="Times New Roman"/>
          <w:i/>
        </w:rPr>
      </w:pPr>
    </w:p>
    <w:p w:rsidR="00081D97" w:rsidRPr="00FF3EF3" w:rsidRDefault="00D122FD" w:rsidP="00FF3EF3">
      <w:pPr>
        <w:jc w:val="both"/>
        <w:rPr>
          <w:rFonts w:ascii="Times New Roman" w:hAnsi="Times New Roman" w:cs="Times New Roman"/>
          <w:i/>
        </w:rPr>
      </w:pPr>
      <w:r w:rsidRPr="00FF3EF3">
        <w:rPr>
          <w:rFonts w:ascii="Times New Roman" w:hAnsi="Times New Roman" w:cs="Times New Roman"/>
          <w:i/>
        </w:rPr>
        <w:t>ENERGY STAR Portfolio Manager</w:t>
      </w:r>
      <w:r w:rsidR="00081D97" w:rsidRPr="00FF3EF3">
        <w:rPr>
          <w:rFonts w:ascii="Times New Roman" w:hAnsi="Times New Roman" w:cs="Times New Roman"/>
          <w:i/>
        </w:rPr>
        <w:t xml:space="preserve"> means the tool developed and maintained by the U.S. Environmental Protection Agency to track and assess the relative energy performance of buildings nationwide.</w:t>
      </w:r>
    </w:p>
    <w:p w:rsidR="00081D97" w:rsidRPr="00FF3EF3" w:rsidRDefault="00081D97"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F</w:t>
      </w:r>
      <w:r w:rsidR="00081D97" w:rsidRPr="00FF3EF3">
        <w:rPr>
          <w:rFonts w:ascii="Times New Roman" w:hAnsi="Times New Roman" w:cs="Times New Roman"/>
          <w:i/>
        </w:rPr>
        <w:t>inancial hardship (of a property) means a property that:</w:t>
      </w:r>
    </w:p>
    <w:p w:rsidR="00081D97" w:rsidRPr="00FF3EF3" w:rsidRDefault="00081D97" w:rsidP="00FF3EF3">
      <w:pPr>
        <w:numPr>
          <w:ilvl w:val="0"/>
          <w:numId w:val="39"/>
        </w:numPr>
        <w:jc w:val="both"/>
        <w:rPr>
          <w:rFonts w:ascii="Times New Roman" w:hAnsi="Times New Roman" w:cs="Times New Roman"/>
          <w:i/>
        </w:rPr>
      </w:pPr>
      <w:r w:rsidRPr="00FF3EF3">
        <w:rPr>
          <w:rFonts w:ascii="Times New Roman" w:hAnsi="Times New Roman" w:cs="Times New Roman"/>
          <w:i/>
        </w:rPr>
        <w:t>Had arrears of property taxes or water or wastewater charges that resulted in the property’s inclusion, within two years prior to the due date of a summary audit report, on the City of Atlanta Department of Finance’s annual tax lien sale list;</w:t>
      </w:r>
    </w:p>
    <w:p w:rsidR="00081D97" w:rsidRPr="00FF3EF3" w:rsidRDefault="00081D97" w:rsidP="00FF3EF3">
      <w:pPr>
        <w:numPr>
          <w:ilvl w:val="0"/>
          <w:numId w:val="39"/>
        </w:numPr>
        <w:jc w:val="both"/>
        <w:rPr>
          <w:rFonts w:ascii="Times New Roman" w:hAnsi="Times New Roman" w:cs="Times New Roman"/>
          <w:i/>
        </w:rPr>
      </w:pPr>
      <w:r w:rsidRPr="00FF3EF3">
        <w:rPr>
          <w:rFonts w:ascii="Times New Roman" w:hAnsi="Times New Roman" w:cs="Times New Roman"/>
          <w:i/>
        </w:rPr>
        <w:t>H</w:t>
      </w:r>
      <w:r w:rsidR="00DD48A5" w:rsidRPr="00FF3EF3">
        <w:rPr>
          <w:rFonts w:ascii="Times New Roman" w:hAnsi="Times New Roman" w:cs="Times New Roman"/>
          <w:i/>
        </w:rPr>
        <w:t>as a court appointed receiver</w:t>
      </w:r>
      <w:r w:rsidRPr="00FF3EF3">
        <w:rPr>
          <w:rFonts w:ascii="Times New Roman" w:hAnsi="Times New Roman" w:cs="Times New Roman"/>
          <w:i/>
        </w:rPr>
        <w:t xml:space="preserve"> in control of the asset due to financial distress;</w:t>
      </w:r>
    </w:p>
    <w:p w:rsidR="00081D97" w:rsidRPr="00FF3EF3" w:rsidRDefault="00081D97" w:rsidP="00FF3EF3">
      <w:pPr>
        <w:numPr>
          <w:ilvl w:val="0"/>
          <w:numId w:val="39"/>
        </w:numPr>
        <w:jc w:val="both"/>
        <w:rPr>
          <w:rFonts w:ascii="Times New Roman" w:hAnsi="Times New Roman" w:cs="Times New Roman"/>
          <w:i/>
        </w:rPr>
      </w:pPr>
      <w:r w:rsidRPr="00FF3EF3">
        <w:rPr>
          <w:rFonts w:ascii="Times New Roman" w:hAnsi="Times New Roman" w:cs="Times New Roman"/>
          <w:i/>
        </w:rPr>
        <w:t>Is owned by a financial institution through default by the borrower;</w:t>
      </w:r>
    </w:p>
    <w:p w:rsidR="00081D97" w:rsidRPr="00FF3EF3" w:rsidRDefault="00081D97" w:rsidP="00FF3EF3">
      <w:pPr>
        <w:numPr>
          <w:ilvl w:val="0"/>
          <w:numId w:val="39"/>
        </w:numPr>
        <w:jc w:val="both"/>
        <w:rPr>
          <w:rFonts w:ascii="Times New Roman" w:hAnsi="Times New Roman" w:cs="Times New Roman"/>
          <w:i/>
        </w:rPr>
      </w:pPr>
      <w:r w:rsidRPr="00FF3EF3">
        <w:rPr>
          <w:rFonts w:ascii="Times New Roman" w:hAnsi="Times New Roman" w:cs="Times New Roman"/>
          <w:i/>
        </w:rPr>
        <w:t>Has been acquired by a deed in lieu of foreclosure; or</w:t>
      </w:r>
    </w:p>
    <w:p w:rsidR="00081D97" w:rsidRPr="00FF3EF3" w:rsidRDefault="00081D97" w:rsidP="00FF3EF3">
      <w:pPr>
        <w:numPr>
          <w:ilvl w:val="0"/>
          <w:numId w:val="39"/>
        </w:numPr>
        <w:jc w:val="both"/>
        <w:rPr>
          <w:rFonts w:ascii="Times New Roman" w:hAnsi="Times New Roman" w:cs="Times New Roman"/>
          <w:i/>
        </w:rPr>
      </w:pPr>
      <w:r w:rsidRPr="00FF3EF3">
        <w:rPr>
          <w:rFonts w:ascii="Times New Roman" w:hAnsi="Times New Roman" w:cs="Times New Roman"/>
          <w:i/>
        </w:rPr>
        <w:t>Has a senior mortgage subject to a notice of default.</w:t>
      </w:r>
    </w:p>
    <w:p w:rsidR="00081D97" w:rsidRPr="00FF3EF3" w:rsidRDefault="00081D97" w:rsidP="00FF3EF3">
      <w:pPr>
        <w:jc w:val="both"/>
        <w:rPr>
          <w:rFonts w:ascii="Times New Roman" w:hAnsi="Times New Roman" w:cs="Times New Roman"/>
          <w:i/>
        </w:rPr>
      </w:pPr>
    </w:p>
    <w:p w:rsidR="003C69D1" w:rsidRPr="00FF3EF3" w:rsidRDefault="003C69D1" w:rsidP="00FF3EF3">
      <w:pPr>
        <w:jc w:val="both"/>
        <w:rPr>
          <w:rFonts w:ascii="Times New Roman" w:hAnsi="Times New Roman" w:cs="Times New Roman"/>
          <w:i/>
        </w:rPr>
      </w:pPr>
      <w:r w:rsidRPr="00FF3EF3">
        <w:rPr>
          <w:rFonts w:ascii="Times New Roman" w:hAnsi="Times New Roman" w:cs="Times New Roman"/>
          <w:i/>
        </w:rPr>
        <w:t>Master meter means a single meter that records energy or water consumption for an entire building</w:t>
      </w:r>
      <w:r w:rsidR="008F1297" w:rsidRPr="00FF3EF3">
        <w:rPr>
          <w:rFonts w:ascii="Times New Roman" w:hAnsi="Times New Roman" w:cs="Times New Roman"/>
          <w:i/>
        </w:rPr>
        <w:t>.</w:t>
      </w:r>
    </w:p>
    <w:p w:rsidR="003C69D1" w:rsidRPr="00FF3EF3" w:rsidRDefault="003C69D1" w:rsidP="00FF3EF3">
      <w:pPr>
        <w:jc w:val="both"/>
        <w:rPr>
          <w:rFonts w:ascii="Times New Roman" w:hAnsi="Times New Roman" w:cs="Times New Roman"/>
          <w:i/>
        </w:rPr>
      </w:pPr>
    </w:p>
    <w:p w:rsidR="00B80FDF" w:rsidRPr="00FF3EF3" w:rsidRDefault="002A7ABB" w:rsidP="00FF3EF3">
      <w:pPr>
        <w:jc w:val="both"/>
        <w:rPr>
          <w:rFonts w:ascii="Times New Roman" w:hAnsi="Times New Roman" w:cs="Times New Roman"/>
          <w:i/>
        </w:rPr>
      </w:pPr>
      <w:r w:rsidRPr="00FF3EF3">
        <w:rPr>
          <w:rFonts w:ascii="Times New Roman" w:hAnsi="Times New Roman" w:cs="Times New Roman"/>
          <w:i/>
        </w:rPr>
        <w:lastRenderedPageBreak/>
        <w:t>N</w:t>
      </w:r>
      <w:r w:rsidR="00B80FDF" w:rsidRPr="00FF3EF3">
        <w:rPr>
          <w:rFonts w:ascii="Times New Roman" w:hAnsi="Times New Roman" w:cs="Times New Roman"/>
          <w:i/>
        </w:rPr>
        <w:t xml:space="preserve">et present value means </w:t>
      </w:r>
      <w:r w:rsidR="00A85431" w:rsidRPr="00FF3EF3">
        <w:rPr>
          <w:rFonts w:ascii="Times New Roman" w:hAnsi="Times New Roman" w:cs="Times New Roman"/>
          <w:i/>
        </w:rPr>
        <w:t>the value in today’s dollars of all future costs and benefits from an investment</w:t>
      </w:r>
      <w:r w:rsidR="00C3508E" w:rsidRPr="00FF3EF3">
        <w:rPr>
          <w:rFonts w:ascii="Times New Roman" w:hAnsi="Times New Roman" w:cs="Times New Roman"/>
          <w:i/>
        </w:rPr>
        <w:t xml:space="preserve"> over a </w:t>
      </w:r>
      <w:r w:rsidR="00FF6DF9" w:rsidRPr="00FF3EF3">
        <w:rPr>
          <w:rFonts w:ascii="Times New Roman" w:hAnsi="Times New Roman" w:cs="Times New Roman"/>
          <w:i/>
        </w:rPr>
        <w:t>twenty</w:t>
      </w:r>
      <w:r w:rsidR="00C3508E" w:rsidRPr="00FF3EF3">
        <w:rPr>
          <w:rFonts w:ascii="Times New Roman" w:hAnsi="Times New Roman" w:cs="Times New Roman"/>
          <w:i/>
        </w:rPr>
        <w:t xml:space="preserve"> year time horizon</w:t>
      </w:r>
      <w:r w:rsidR="00FF6DF9" w:rsidRPr="00FF3EF3">
        <w:rPr>
          <w:rFonts w:ascii="Times New Roman" w:hAnsi="Times New Roman" w:cs="Times New Roman"/>
          <w:i/>
        </w:rPr>
        <w:t xml:space="preserve"> or the lifetime of the equipment</w:t>
      </w:r>
      <w:r w:rsidR="00A85431" w:rsidRPr="00FF3EF3">
        <w:rPr>
          <w:rFonts w:ascii="Times New Roman" w:hAnsi="Times New Roman" w:cs="Times New Roman"/>
          <w:i/>
        </w:rPr>
        <w:t>,</w:t>
      </w:r>
      <w:r w:rsidR="00FF6DF9" w:rsidRPr="00FF3EF3">
        <w:rPr>
          <w:rFonts w:ascii="Times New Roman" w:hAnsi="Times New Roman" w:cs="Times New Roman"/>
          <w:i/>
        </w:rPr>
        <w:t xml:space="preserve"> whichever is shorter,</w:t>
      </w:r>
      <w:r w:rsidR="00A85431" w:rsidRPr="00FF3EF3">
        <w:rPr>
          <w:rFonts w:ascii="Times New Roman" w:hAnsi="Times New Roman" w:cs="Times New Roman"/>
          <w:i/>
        </w:rPr>
        <w:t xml:space="preserve"> analyzed with a 3% discount rate per United State Office of Management and Budget Circular A-4 guidance.</w:t>
      </w:r>
    </w:p>
    <w:p w:rsidR="00B80FDF" w:rsidRPr="00FF3EF3" w:rsidRDefault="00B80FDF" w:rsidP="00FF3EF3">
      <w:pPr>
        <w:jc w:val="both"/>
        <w:rPr>
          <w:rFonts w:ascii="Times New Roman" w:hAnsi="Times New Roman" w:cs="Times New Roman"/>
          <w:i/>
        </w:rPr>
      </w:pPr>
    </w:p>
    <w:p w:rsidR="0097460F" w:rsidRPr="00FF3EF3" w:rsidRDefault="0097460F" w:rsidP="00FF3EF3">
      <w:pPr>
        <w:jc w:val="both"/>
        <w:rPr>
          <w:rFonts w:ascii="Times New Roman" w:hAnsi="Times New Roman" w:cs="Times New Roman"/>
          <w:i/>
        </w:rPr>
      </w:pPr>
      <w:r w:rsidRPr="00FF3EF3">
        <w:rPr>
          <w:rFonts w:ascii="Times New Roman" w:hAnsi="Times New Roman" w:cs="Times New Roman"/>
          <w:i/>
        </w:rPr>
        <w:t>Ongoing commissioning means an ongoing process of comparing data obtained through the building management system with analytic models; identifying problematic sensors, controls and equipment; and resolving operating problems, optimizing energy use and identifying retrofits for existing buildings.</w:t>
      </w:r>
    </w:p>
    <w:p w:rsidR="0097460F" w:rsidRPr="00FF3EF3" w:rsidRDefault="0097460F"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Owner</w:t>
      </w:r>
      <w:r w:rsidR="00081D97" w:rsidRPr="00FF3EF3">
        <w:rPr>
          <w:rFonts w:ascii="Times New Roman" w:hAnsi="Times New Roman" w:cs="Times New Roman"/>
          <w:i/>
        </w:rPr>
        <w:t xml:space="preserve"> means any of the following:</w:t>
      </w:r>
    </w:p>
    <w:p w:rsidR="00081D97" w:rsidRPr="00FF3EF3" w:rsidRDefault="00081D97" w:rsidP="00FF3EF3">
      <w:pPr>
        <w:numPr>
          <w:ilvl w:val="0"/>
          <w:numId w:val="4"/>
        </w:numPr>
        <w:jc w:val="both"/>
        <w:rPr>
          <w:rFonts w:ascii="Times New Roman" w:hAnsi="Times New Roman" w:cs="Times New Roman"/>
          <w:i/>
        </w:rPr>
      </w:pPr>
      <w:r w:rsidRPr="00FF3EF3">
        <w:rPr>
          <w:rFonts w:ascii="Times New Roman" w:hAnsi="Times New Roman" w:cs="Times New Roman"/>
          <w:i/>
        </w:rPr>
        <w:t>An individual or entity possessing title to a covered property or covered city property;</w:t>
      </w:r>
    </w:p>
    <w:p w:rsidR="00081D97" w:rsidRPr="00FF3EF3" w:rsidRDefault="00081D97" w:rsidP="00FF3EF3">
      <w:pPr>
        <w:numPr>
          <w:ilvl w:val="0"/>
          <w:numId w:val="4"/>
        </w:numPr>
        <w:jc w:val="both"/>
        <w:rPr>
          <w:rFonts w:ascii="Times New Roman" w:hAnsi="Times New Roman" w:cs="Times New Roman"/>
          <w:i/>
        </w:rPr>
      </w:pPr>
      <w:r w:rsidRPr="00FF3EF3">
        <w:rPr>
          <w:rFonts w:ascii="Times New Roman" w:hAnsi="Times New Roman" w:cs="Times New Roman"/>
          <w:i/>
          <w:iCs/>
        </w:rPr>
        <w:t>The net lessee in the case of a property subject to a triple net lease that is the single tenant</w:t>
      </w:r>
      <w:r w:rsidR="00A52149" w:rsidRPr="00FF3EF3">
        <w:rPr>
          <w:rFonts w:ascii="Times New Roman" w:hAnsi="Times New Roman" w:cs="Times New Roman"/>
          <w:i/>
          <w:iCs/>
        </w:rPr>
        <w:t>, regardless of tax parcel ownership</w:t>
      </w:r>
      <w:r w:rsidRPr="00FF3EF3">
        <w:rPr>
          <w:rFonts w:ascii="Times New Roman" w:hAnsi="Times New Roman" w:cs="Times New Roman"/>
          <w:i/>
          <w:iCs/>
        </w:rPr>
        <w:t>;</w:t>
      </w:r>
    </w:p>
    <w:p w:rsidR="00081D97" w:rsidRPr="00FF3EF3" w:rsidRDefault="00081D97" w:rsidP="00FF3EF3">
      <w:pPr>
        <w:numPr>
          <w:ilvl w:val="0"/>
          <w:numId w:val="4"/>
        </w:numPr>
        <w:jc w:val="both"/>
        <w:rPr>
          <w:rFonts w:ascii="Times New Roman" w:hAnsi="Times New Roman" w:cs="Times New Roman"/>
          <w:i/>
        </w:rPr>
      </w:pPr>
      <w:r w:rsidRPr="00FF3EF3">
        <w:rPr>
          <w:rFonts w:ascii="Times New Roman" w:hAnsi="Times New Roman" w:cs="Times New Roman"/>
          <w:i/>
          <w:iCs/>
        </w:rPr>
        <w:t>The net lessee in the case of a building subject to a net lease with a term of at least forty-nine years, inclusive of all renewal options;</w:t>
      </w:r>
    </w:p>
    <w:p w:rsidR="00081D97" w:rsidRPr="00FF3EF3" w:rsidRDefault="00081D97" w:rsidP="00FF3EF3">
      <w:pPr>
        <w:numPr>
          <w:ilvl w:val="0"/>
          <w:numId w:val="4"/>
        </w:numPr>
        <w:jc w:val="both"/>
        <w:rPr>
          <w:rFonts w:ascii="Times New Roman" w:hAnsi="Times New Roman" w:cs="Times New Roman"/>
          <w:i/>
        </w:rPr>
      </w:pPr>
      <w:r w:rsidRPr="00FF3EF3">
        <w:rPr>
          <w:rFonts w:ascii="Times New Roman" w:hAnsi="Times New Roman" w:cs="Times New Roman"/>
          <w:i/>
          <w:iCs/>
        </w:rPr>
        <w:t>The board of directors in the case of a condominium;</w:t>
      </w:r>
    </w:p>
    <w:p w:rsidR="00081D97" w:rsidRPr="00FF3EF3" w:rsidRDefault="00081D97" w:rsidP="00FF3EF3">
      <w:pPr>
        <w:numPr>
          <w:ilvl w:val="0"/>
          <w:numId w:val="4"/>
        </w:numPr>
        <w:jc w:val="both"/>
        <w:rPr>
          <w:rFonts w:ascii="Times New Roman" w:hAnsi="Times New Roman" w:cs="Times New Roman"/>
          <w:i/>
        </w:rPr>
      </w:pPr>
      <w:r w:rsidRPr="00FF3EF3">
        <w:rPr>
          <w:rFonts w:ascii="Times New Roman" w:hAnsi="Times New Roman" w:cs="Times New Roman"/>
          <w:i/>
          <w:iCs/>
        </w:rPr>
        <w:t>The board of directors in the case of a cooperative apartment corporation; or</w:t>
      </w:r>
    </w:p>
    <w:p w:rsidR="00081D97" w:rsidRPr="00FF3EF3" w:rsidRDefault="00081D97" w:rsidP="00FF3EF3">
      <w:pPr>
        <w:numPr>
          <w:ilvl w:val="0"/>
          <w:numId w:val="4"/>
        </w:numPr>
        <w:jc w:val="both"/>
        <w:rPr>
          <w:rFonts w:ascii="Times New Roman" w:hAnsi="Times New Roman" w:cs="Times New Roman"/>
          <w:i/>
        </w:rPr>
      </w:pPr>
      <w:r w:rsidRPr="00FF3EF3">
        <w:rPr>
          <w:rFonts w:ascii="Times New Roman" w:hAnsi="Times New Roman" w:cs="Times New Roman"/>
          <w:i/>
        </w:rPr>
        <w:t>An agent authorized to act on behalf of any of the above.</w:t>
      </w:r>
    </w:p>
    <w:p w:rsidR="00081D97" w:rsidRPr="00FF3EF3" w:rsidRDefault="00081D97" w:rsidP="00FF3EF3">
      <w:pPr>
        <w:jc w:val="both"/>
        <w:rPr>
          <w:rFonts w:ascii="Times New Roman" w:hAnsi="Times New Roman" w:cs="Times New Roman"/>
          <w:i/>
        </w:rPr>
      </w:pPr>
    </w:p>
    <w:p w:rsidR="00DE69DD" w:rsidRPr="00FF3EF3" w:rsidRDefault="00DE69DD" w:rsidP="00FF3EF3">
      <w:pPr>
        <w:jc w:val="both"/>
        <w:rPr>
          <w:rFonts w:ascii="Times New Roman" w:hAnsi="Times New Roman" w:cs="Times New Roman"/>
          <w:i/>
        </w:rPr>
      </w:pPr>
      <w:r w:rsidRPr="00FF3EF3">
        <w:rPr>
          <w:rFonts w:ascii="Times New Roman" w:hAnsi="Times New Roman" w:cs="Times New Roman"/>
          <w:i/>
        </w:rPr>
        <w:t>Property means the tax parcel as designated by the appropriate county agency.</w:t>
      </w:r>
    </w:p>
    <w:p w:rsidR="00DF1752" w:rsidRPr="00FF3EF3" w:rsidRDefault="00DF1752" w:rsidP="00FF3EF3">
      <w:pPr>
        <w:jc w:val="both"/>
        <w:rPr>
          <w:rFonts w:ascii="Times New Roman" w:hAnsi="Times New Roman" w:cs="Times New Roman"/>
          <w:i/>
        </w:rPr>
      </w:pPr>
    </w:p>
    <w:p w:rsidR="00DF1752" w:rsidRPr="00FF3EF3" w:rsidRDefault="002A7ABB" w:rsidP="00FF3EF3">
      <w:pPr>
        <w:jc w:val="both"/>
        <w:rPr>
          <w:rFonts w:ascii="Times New Roman" w:hAnsi="Times New Roman" w:cs="Times New Roman"/>
          <w:i/>
        </w:rPr>
      </w:pPr>
      <w:r w:rsidRPr="00FF3EF3">
        <w:rPr>
          <w:rFonts w:ascii="Times New Roman" w:hAnsi="Times New Roman" w:cs="Times New Roman"/>
          <w:i/>
        </w:rPr>
        <w:t>Registered design professional</w:t>
      </w:r>
      <w:r w:rsidR="00DF1752" w:rsidRPr="00FF3EF3">
        <w:rPr>
          <w:rFonts w:ascii="Times New Roman" w:hAnsi="Times New Roman" w:cs="Times New Roman"/>
          <w:i/>
        </w:rPr>
        <w:t xml:space="preserve"> means a professional engineer, registered architect, or an individual or entity possessing other credentials approved by the department.</w:t>
      </w:r>
    </w:p>
    <w:p w:rsidR="00E07A68" w:rsidRPr="00FF3EF3" w:rsidRDefault="00E07A68" w:rsidP="00FF3EF3">
      <w:pPr>
        <w:jc w:val="both"/>
        <w:rPr>
          <w:rFonts w:ascii="Times New Roman" w:hAnsi="Times New Roman" w:cs="Times New Roman"/>
          <w:i/>
        </w:rPr>
      </w:pPr>
    </w:p>
    <w:p w:rsidR="00E07A68" w:rsidRPr="00FF3EF3" w:rsidRDefault="00E07A68" w:rsidP="00FF3EF3">
      <w:pPr>
        <w:jc w:val="both"/>
        <w:rPr>
          <w:rFonts w:ascii="Times New Roman" w:hAnsi="Times New Roman" w:cs="Times New Roman"/>
          <w:i/>
        </w:rPr>
      </w:pPr>
      <w:r w:rsidRPr="00FF3EF3">
        <w:rPr>
          <w:rFonts w:ascii="Times New Roman" w:hAnsi="Times New Roman" w:cs="Times New Roman"/>
          <w:i/>
        </w:rPr>
        <w:t>Rentable floor area means the</w:t>
      </w:r>
      <w:r w:rsidR="00703AA5" w:rsidRPr="00FF3EF3">
        <w:rPr>
          <w:rFonts w:ascii="Times New Roman" w:hAnsi="Times New Roman" w:cs="Times New Roman"/>
          <w:i/>
        </w:rPr>
        <w:t xml:space="preserve"> combined</w:t>
      </w:r>
      <w:r w:rsidRPr="00FF3EF3">
        <w:rPr>
          <w:rFonts w:ascii="Times New Roman" w:hAnsi="Times New Roman" w:cs="Times New Roman"/>
          <w:i/>
        </w:rPr>
        <w:t xml:space="preserve"> leasable or occupant space</w:t>
      </w:r>
      <w:r w:rsidR="00703AA5" w:rsidRPr="00FF3EF3">
        <w:rPr>
          <w:rFonts w:ascii="Times New Roman" w:hAnsi="Times New Roman" w:cs="Times New Roman"/>
          <w:i/>
        </w:rPr>
        <w:t xml:space="preserve"> of a property as defined by</w:t>
      </w:r>
      <w:r w:rsidRPr="00FF3EF3">
        <w:rPr>
          <w:rFonts w:ascii="Times New Roman" w:hAnsi="Times New Roman" w:cs="Times New Roman"/>
          <w:i/>
        </w:rPr>
        <w:t xml:space="preserve"> the cur</w:t>
      </w:r>
      <w:r w:rsidR="00703AA5" w:rsidRPr="00FF3EF3">
        <w:rPr>
          <w:rFonts w:ascii="Times New Roman" w:hAnsi="Times New Roman" w:cs="Times New Roman"/>
          <w:i/>
        </w:rPr>
        <w:t>rent and appropriate version of the ANSI/BOMA Z65 Standard Methods of Measurement that is applicable to the buildings on said property.</w:t>
      </w:r>
    </w:p>
    <w:p w:rsidR="00C87B64" w:rsidRPr="00FF3EF3" w:rsidRDefault="00C87B64"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R</w:t>
      </w:r>
      <w:r w:rsidR="00081D97" w:rsidRPr="00FF3EF3">
        <w:rPr>
          <w:rFonts w:ascii="Times New Roman" w:hAnsi="Times New Roman" w:cs="Times New Roman"/>
          <w:i/>
        </w:rPr>
        <w:t>etro</w:t>
      </w:r>
      <w:r w:rsidRPr="00FF3EF3">
        <w:rPr>
          <w:rFonts w:ascii="Times New Roman" w:hAnsi="Times New Roman" w:cs="Times New Roman"/>
          <w:i/>
        </w:rPr>
        <w:t>-commissioning</w:t>
      </w:r>
      <w:r w:rsidR="00081D97" w:rsidRPr="00FF3EF3">
        <w:rPr>
          <w:rFonts w:ascii="Times New Roman" w:hAnsi="Times New Roman" w:cs="Times New Roman"/>
          <w:i/>
        </w:rPr>
        <w:t xml:space="preserve"> </w:t>
      </w:r>
      <w:r w:rsidR="003A43E1" w:rsidRPr="00FF3EF3">
        <w:rPr>
          <w:rFonts w:ascii="Times New Roman" w:hAnsi="Times New Roman" w:cs="Times New Roman"/>
          <w:i/>
        </w:rPr>
        <w:t>means a process that systematically identifies and corrects building system problems to achieve optimal building performance. This includes planning, investigation, implementation, evaluation, and documenting that the facility and/or its systems and assemblies are operated, maintained, and tuned to improve building performance.</w:t>
      </w:r>
    </w:p>
    <w:p w:rsidR="00081D97" w:rsidRPr="00FF3EF3" w:rsidRDefault="00081D97"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Retro-commissioning measure</w:t>
      </w:r>
      <w:r w:rsidR="00081D97" w:rsidRPr="00FF3EF3">
        <w:rPr>
          <w:rFonts w:ascii="Times New Roman" w:hAnsi="Times New Roman" w:cs="Times New Roman"/>
          <w:i/>
        </w:rPr>
        <w:t xml:space="preserve"> means a correction that has been identified during the analysis phase of retro-commissioning.</w:t>
      </w:r>
    </w:p>
    <w:p w:rsidR="00081D97" w:rsidRPr="00FF3EF3" w:rsidRDefault="00081D97" w:rsidP="00FF3EF3">
      <w:pPr>
        <w:jc w:val="both"/>
        <w:rPr>
          <w:rFonts w:ascii="Times New Roman" w:hAnsi="Times New Roman" w:cs="Times New Roman"/>
          <w:i/>
        </w:rPr>
      </w:pPr>
    </w:p>
    <w:p w:rsidR="006628CA" w:rsidRPr="00FF3EF3" w:rsidRDefault="002A7ABB" w:rsidP="00FF3EF3">
      <w:pPr>
        <w:jc w:val="both"/>
        <w:rPr>
          <w:rFonts w:ascii="Times New Roman" w:hAnsi="Times New Roman" w:cs="Times New Roman"/>
          <w:i/>
        </w:rPr>
      </w:pPr>
      <w:r w:rsidRPr="00FF3EF3">
        <w:rPr>
          <w:rFonts w:ascii="Times New Roman" w:hAnsi="Times New Roman" w:cs="Times New Roman"/>
          <w:i/>
        </w:rPr>
        <w:t>R</w:t>
      </w:r>
      <w:r w:rsidR="00081D97" w:rsidRPr="00FF3EF3">
        <w:rPr>
          <w:rFonts w:ascii="Times New Roman" w:hAnsi="Times New Roman" w:cs="Times New Roman"/>
          <w:i/>
        </w:rPr>
        <w:t>etro-commissioning</w:t>
      </w:r>
      <w:r w:rsidRPr="00FF3EF3">
        <w:rPr>
          <w:rFonts w:ascii="Times New Roman" w:hAnsi="Times New Roman" w:cs="Times New Roman"/>
          <w:i/>
        </w:rPr>
        <w:t xml:space="preserve"> professional</w:t>
      </w:r>
      <w:r w:rsidR="00081D97" w:rsidRPr="00FF3EF3">
        <w:rPr>
          <w:rFonts w:ascii="Times New Roman" w:hAnsi="Times New Roman" w:cs="Times New Roman"/>
          <w:i/>
        </w:rPr>
        <w:t xml:space="preserve"> means an indiv</w:t>
      </w:r>
      <w:r w:rsidR="0097460F" w:rsidRPr="00FF3EF3">
        <w:rPr>
          <w:rFonts w:ascii="Times New Roman" w:hAnsi="Times New Roman" w:cs="Times New Roman"/>
          <w:i/>
        </w:rPr>
        <w:t xml:space="preserve">idual </w:t>
      </w:r>
      <w:r w:rsidR="00081D97" w:rsidRPr="00FF3EF3">
        <w:rPr>
          <w:rFonts w:ascii="Times New Roman" w:hAnsi="Times New Roman" w:cs="Times New Roman"/>
          <w:i/>
        </w:rPr>
        <w:t xml:space="preserve">authorized by the </w:t>
      </w:r>
      <w:r w:rsidR="00152AE1" w:rsidRPr="00FF3EF3">
        <w:rPr>
          <w:rFonts w:ascii="Times New Roman" w:hAnsi="Times New Roman" w:cs="Times New Roman"/>
          <w:i/>
        </w:rPr>
        <w:t>Department</w:t>
      </w:r>
      <w:r w:rsidR="00081D97" w:rsidRPr="00FF3EF3">
        <w:rPr>
          <w:rFonts w:ascii="Times New Roman" w:hAnsi="Times New Roman" w:cs="Times New Roman"/>
          <w:i/>
        </w:rPr>
        <w:t xml:space="preserve"> to certify retro-commissioning reports required by this ordinance. Until such time as there is a U.S. Department of Energy (“DOE”)-recognized standard establishing qualifications for persons who perform retro-commissioning and such standard has been adopted by the </w:t>
      </w:r>
      <w:r w:rsidR="00152AE1" w:rsidRPr="00FF3EF3">
        <w:rPr>
          <w:rFonts w:ascii="Times New Roman" w:hAnsi="Times New Roman" w:cs="Times New Roman"/>
          <w:i/>
        </w:rPr>
        <w:t>Department</w:t>
      </w:r>
      <w:r w:rsidR="006628CA" w:rsidRPr="00FF3EF3">
        <w:rPr>
          <w:rFonts w:ascii="Times New Roman" w:hAnsi="Times New Roman" w:cs="Times New Roman"/>
          <w:i/>
        </w:rPr>
        <w:t>, a retro-</w:t>
      </w:r>
      <w:r w:rsidR="00081D97" w:rsidRPr="00FF3EF3">
        <w:rPr>
          <w:rFonts w:ascii="Times New Roman" w:hAnsi="Times New Roman" w:cs="Times New Roman"/>
          <w:i/>
        </w:rPr>
        <w:t>commissioning professional or member(s) of the team such profess</w:t>
      </w:r>
      <w:r w:rsidR="00A15A49" w:rsidRPr="00FF3EF3">
        <w:rPr>
          <w:rFonts w:ascii="Times New Roman" w:hAnsi="Times New Roman" w:cs="Times New Roman"/>
          <w:i/>
        </w:rPr>
        <w:t>ional supervises shall</w:t>
      </w:r>
      <w:r w:rsidR="006628CA" w:rsidRPr="00FF3EF3">
        <w:rPr>
          <w:rFonts w:ascii="Times New Roman" w:hAnsi="Times New Roman" w:cs="Times New Roman"/>
          <w:i/>
        </w:rPr>
        <w:t xml:space="preserve"> meet at least one of the following qualifications:</w:t>
      </w:r>
    </w:p>
    <w:p w:rsidR="006628CA" w:rsidRPr="00FF3EF3" w:rsidRDefault="006628CA" w:rsidP="00FF3EF3">
      <w:pPr>
        <w:numPr>
          <w:ilvl w:val="0"/>
          <w:numId w:val="13"/>
        </w:numPr>
        <w:tabs>
          <w:tab w:val="left" w:pos="1440"/>
        </w:tabs>
        <w:ind w:left="1440"/>
        <w:jc w:val="both"/>
        <w:rPr>
          <w:rFonts w:ascii="Times New Roman" w:hAnsi="Times New Roman" w:cs="Times New Roman"/>
          <w:i/>
        </w:rPr>
      </w:pPr>
      <w:r w:rsidRPr="00FF3EF3">
        <w:rPr>
          <w:rFonts w:ascii="Times New Roman" w:hAnsi="Times New Roman" w:cs="Times New Roman"/>
          <w:i/>
        </w:rPr>
        <w:lastRenderedPageBreak/>
        <w:t>Professional engineer, registered architect, or certified energy manager with 2 or more years of commissioning experience;</w:t>
      </w:r>
    </w:p>
    <w:p w:rsidR="006628CA" w:rsidRPr="00FF3EF3" w:rsidRDefault="006628CA" w:rsidP="00FF3EF3">
      <w:pPr>
        <w:numPr>
          <w:ilvl w:val="0"/>
          <w:numId w:val="13"/>
        </w:numPr>
        <w:tabs>
          <w:tab w:val="left" w:pos="1440"/>
        </w:tabs>
        <w:ind w:left="1440"/>
        <w:jc w:val="both"/>
        <w:rPr>
          <w:rFonts w:ascii="Times New Roman" w:hAnsi="Times New Roman" w:cs="Times New Roman"/>
          <w:i/>
        </w:rPr>
      </w:pPr>
      <w:r w:rsidRPr="00FF3EF3">
        <w:rPr>
          <w:rFonts w:ascii="Times New Roman" w:hAnsi="Times New Roman" w:cs="Times New Roman"/>
          <w:i/>
        </w:rPr>
        <w:t>Hold</w:t>
      </w:r>
      <w:r w:rsidR="00A15A49" w:rsidRPr="00FF3EF3">
        <w:rPr>
          <w:rFonts w:ascii="Times New Roman" w:hAnsi="Times New Roman" w:cs="Times New Roman"/>
          <w:i/>
        </w:rPr>
        <w:t xml:space="preserve"> certification</w:t>
      </w:r>
      <w:r w:rsidRPr="00FF3EF3">
        <w:rPr>
          <w:rFonts w:ascii="Times New Roman" w:hAnsi="Times New Roman" w:cs="Times New Roman"/>
          <w:i/>
        </w:rPr>
        <w:t>(s)</w:t>
      </w:r>
      <w:r w:rsidR="00A15A49" w:rsidRPr="00FF3EF3">
        <w:rPr>
          <w:rFonts w:ascii="Times New Roman" w:hAnsi="Times New Roman" w:cs="Times New Roman"/>
          <w:i/>
        </w:rPr>
        <w:t xml:space="preserve"> with</w:t>
      </w:r>
      <w:r w:rsidRPr="00FF3EF3">
        <w:rPr>
          <w:rFonts w:ascii="Times New Roman" w:hAnsi="Times New Roman" w:cs="Times New Roman"/>
          <w:i/>
        </w:rPr>
        <w:t xml:space="preserve"> the</w:t>
      </w:r>
      <w:r w:rsidR="00A15A49" w:rsidRPr="00FF3EF3">
        <w:rPr>
          <w:rFonts w:ascii="Times New Roman" w:hAnsi="Times New Roman" w:cs="Times New Roman"/>
          <w:i/>
        </w:rPr>
        <w:t xml:space="preserve"> </w:t>
      </w:r>
      <w:r w:rsidRPr="00FF3EF3">
        <w:rPr>
          <w:rFonts w:ascii="Times New Roman" w:hAnsi="Times New Roman" w:cs="Times New Roman"/>
          <w:i/>
        </w:rPr>
        <w:t>Associated Air Balance Council, National Environmental Balancing Bureau</w:t>
      </w:r>
      <w:r w:rsidR="00A15A49" w:rsidRPr="00FF3EF3">
        <w:rPr>
          <w:rFonts w:ascii="Times New Roman" w:hAnsi="Times New Roman" w:cs="Times New Roman"/>
          <w:i/>
        </w:rPr>
        <w:t>,</w:t>
      </w:r>
      <w:r w:rsidRPr="00FF3EF3">
        <w:rPr>
          <w:rFonts w:ascii="Times New Roman" w:hAnsi="Times New Roman" w:cs="Times New Roman"/>
          <w:i/>
        </w:rPr>
        <w:t xml:space="preserve"> Association of Energy Engineers,</w:t>
      </w:r>
      <w:r w:rsidR="00CD4DC5" w:rsidRPr="00FF3EF3">
        <w:rPr>
          <w:rFonts w:ascii="Times New Roman" w:hAnsi="Times New Roman" w:cs="Times New Roman"/>
          <w:i/>
        </w:rPr>
        <w:t xml:space="preserve"> the University of Wisconsin-Madison,</w:t>
      </w:r>
      <w:r w:rsidRPr="00FF3EF3">
        <w:rPr>
          <w:rFonts w:ascii="Times New Roman" w:hAnsi="Times New Roman" w:cs="Times New Roman"/>
          <w:i/>
        </w:rPr>
        <w:t xml:space="preserve"> or the American Society of Heating, Refrigerating, and Air-Conditioning Engineers as a commissioning authority with 2 or more years of commissioning experience;</w:t>
      </w:r>
    </w:p>
    <w:p w:rsidR="006628CA" w:rsidRPr="00FF3EF3" w:rsidRDefault="006628CA" w:rsidP="00FF3EF3">
      <w:pPr>
        <w:numPr>
          <w:ilvl w:val="0"/>
          <w:numId w:val="13"/>
        </w:numPr>
        <w:tabs>
          <w:tab w:val="left" w:pos="1440"/>
        </w:tabs>
        <w:ind w:left="1440"/>
        <w:jc w:val="both"/>
        <w:rPr>
          <w:rFonts w:ascii="Times New Roman" w:hAnsi="Times New Roman" w:cs="Times New Roman"/>
          <w:i/>
        </w:rPr>
      </w:pPr>
      <w:r w:rsidRPr="00FF3EF3">
        <w:rPr>
          <w:rFonts w:ascii="Times New Roman" w:hAnsi="Times New Roman" w:cs="Times New Roman"/>
          <w:i/>
        </w:rPr>
        <w:t>An individual or a firm with 5 or more years of commissioning experience.</w:t>
      </w:r>
    </w:p>
    <w:p w:rsidR="005B56AD" w:rsidRPr="00FF3EF3" w:rsidRDefault="005B56AD" w:rsidP="00FF3EF3">
      <w:pPr>
        <w:numPr>
          <w:ilvl w:val="0"/>
          <w:numId w:val="13"/>
        </w:numPr>
        <w:tabs>
          <w:tab w:val="left" w:pos="1440"/>
        </w:tabs>
        <w:ind w:left="1440"/>
        <w:jc w:val="both"/>
        <w:rPr>
          <w:rFonts w:ascii="Times New Roman" w:hAnsi="Times New Roman" w:cs="Times New Roman"/>
          <w:i/>
        </w:rPr>
      </w:pPr>
      <w:r w:rsidRPr="00FF3EF3">
        <w:rPr>
          <w:rFonts w:ascii="Times New Roman" w:hAnsi="Times New Roman" w:cs="Times New Roman"/>
          <w:i/>
        </w:rPr>
        <w:t xml:space="preserve">An individual with the </w:t>
      </w:r>
      <w:r w:rsidR="006B4B51" w:rsidRPr="00FF3EF3">
        <w:rPr>
          <w:rFonts w:ascii="Times New Roman" w:hAnsi="Times New Roman" w:cs="Times New Roman"/>
          <w:i/>
        </w:rPr>
        <w:t>certifications</w:t>
      </w:r>
      <w:r w:rsidRPr="00FF3EF3">
        <w:rPr>
          <w:rFonts w:ascii="Times New Roman" w:hAnsi="Times New Roman" w:cs="Times New Roman"/>
          <w:i/>
        </w:rPr>
        <w:t xml:space="preserve"> described in (a) or (b) with 2 or more years of building energy management</w:t>
      </w:r>
      <w:r w:rsidR="00CB1383" w:rsidRPr="00FF3EF3">
        <w:rPr>
          <w:rFonts w:ascii="Times New Roman" w:hAnsi="Times New Roman" w:cs="Times New Roman"/>
          <w:i/>
        </w:rPr>
        <w:t xml:space="preserve"> experience</w:t>
      </w:r>
      <w:r w:rsidRPr="00FF3EF3">
        <w:rPr>
          <w:rFonts w:ascii="Times New Roman" w:hAnsi="Times New Roman" w:cs="Times New Roman"/>
          <w:i/>
        </w:rPr>
        <w:t xml:space="preserve"> in the building undertaking retro-commissioning.</w:t>
      </w:r>
    </w:p>
    <w:p w:rsidR="00081D97" w:rsidRPr="00FF3EF3" w:rsidRDefault="00081D97" w:rsidP="00FF3EF3">
      <w:pPr>
        <w:tabs>
          <w:tab w:val="left" w:pos="1440"/>
        </w:tabs>
        <w:jc w:val="both"/>
        <w:rPr>
          <w:rFonts w:ascii="Times New Roman" w:hAnsi="Times New Roman" w:cs="Times New Roman"/>
          <w:i/>
        </w:rPr>
      </w:pPr>
      <w:r w:rsidRPr="00FF3EF3">
        <w:rPr>
          <w:rFonts w:ascii="Times New Roman" w:hAnsi="Times New Roman" w:cs="Times New Roman"/>
          <w:i/>
        </w:rPr>
        <w:t xml:space="preserve">After the establishment of such a DOE-recognized standard, the </w:t>
      </w:r>
      <w:r w:rsidR="00152AE1" w:rsidRPr="00FF3EF3">
        <w:rPr>
          <w:rFonts w:ascii="Times New Roman" w:hAnsi="Times New Roman" w:cs="Times New Roman"/>
          <w:i/>
        </w:rPr>
        <w:t>Department</w:t>
      </w:r>
      <w:r w:rsidRPr="00FF3EF3">
        <w:rPr>
          <w:rFonts w:ascii="Times New Roman" w:hAnsi="Times New Roman" w:cs="Times New Roman"/>
          <w:i/>
        </w:rPr>
        <w:t xml:space="preserve"> may adopt the qualifications of the DOE-recognized standard with such modifications as the </w:t>
      </w:r>
      <w:r w:rsidR="00152AE1" w:rsidRPr="00FF3EF3">
        <w:rPr>
          <w:rFonts w:ascii="Times New Roman" w:hAnsi="Times New Roman" w:cs="Times New Roman"/>
          <w:i/>
        </w:rPr>
        <w:t>Department</w:t>
      </w:r>
      <w:r w:rsidRPr="00FF3EF3">
        <w:rPr>
          <w:rFonts w:ascii="Times New Roman" w:hAnsi="Times New Roman" w:cs="Times New Roman"/>
          <w:i/>
        </w:rPr>
        <w:t xml:space="preserve"> deems to be appropriate.</w:t>
      </w:r>
    </w:p>
    <w:p w:rsidR="00081D97" w:rsidRPr="00FF3EF3" w:rsidRDefault="00081D97"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R</w:t>
      </w:r>
      <w:r w:rsidR="00081D97" w:rsidRPr="00FF3EF3">
        <w:rPr>
          <w:rFonts w:ascii="Times New Roman" w:hAnsi="Times New Roman" w:cs="Times New Roman"/>
          <w:i/>
        </w:rPr>
        <w:t>etro-commissioning report means the final document produced by the retro-commissioning professional including but not limited to:</w:t>
      </w:r>
    </w:p>
    <w:p w:rsidR="00081D97" w:rsidRPr="00FF3EF3" w:rsidRDefault="00081D97" w:rsidP="00FF3EF3">
      <w:pPr>
        <w:numPr>
          <w:ilvl w:val="0"/>
          <w:numId w:val="38"/>
        </w:numPr>
        <w:tabs>
          <w:tab w:val="left" w:pos="1440"/>
        </w:tabs>
        <w:jc w:val="both"/>
        <w:rPr>
          <w:rFonts w:ascii="Times New Roman" w:hAnsi="Times New Roman" w:cs="Times New Roman"/>
          <w:i/>
        </w:rPr>
      </w:pPr>
      <w:r w:rsidRPr="00FF3EF3">
        <w:rPr>
          <w:rFonts w:ascii="Times New Roman" w:hAnsi="Times New Roman" w:cs="Times New Roman"/>
          <w:i/>
        </w:rPr>
        <w:t>Sum</w:t>
      </w:r>
      <w:r w:rsidR="00774A8F" w:rsidRPr="00FF3EF3">
        <w:rPr>
          <w:rFonts w:ascii="Times New Roman" w:hAnsi="Times New Roman" w:cs="Times New Roman"/>
          <w:i/>
        </w:rPr>
        <w:t>mary retro-commissioning report,</w:t>
      </w:r>
    </w:p>
    <w:p w:rsidR="00081D97" w:rsidRPr="00FF3EF3" w:rsidRDefault="00774A8F" w:rsidP="00FF3EF3">
      <w:pPr>
        <w:numPr>
          <w:ilvl w:val="0"/>
          <w:numId w:val="38"/>
        </w:numPr>
        <w:tabs>
          <w:tab w:val="left" w:pos="1440"/>
        </w:tabs>
        <w:jc w:val="both"/>
        <w:rPr>
          <w:rFonts w:ascii="Times New Roman" w:hAnsi="Times New Roman" w:cs="Times New Roman"/>
          <w:i/>
        </w:rPr>
      </w:pPr>
      <w:r w:rsidRPr="00FF3EF3">
        <w:rPr>
          <w:rFonts w:ascii="Times New Roman" w:hAnsi="Times New Roman" w:cs="Times New Roman"/>
          <w:i/>
        </w:rPr>
        <w:t>Benchmarking output,</w:t>
      </w:r>
    </w:p>
    <w:p w:rsidR="00774A8F" w:rsidRPr="00FF3EF3" w:rsidRDefault="00774A8F" w:rsidP="00FF3EF3">
      <w:pPr>
        <w:numPr>
          <w:ilvl w:val="0"/>
          <w:numId w:val="38"/>
        </w:numPr>
        <w:tabs>
          <w:tab w:val="left" w:pos="1440"/>
        </w:tabs>
        <w:jc w:val="both"/>
        <w:rPr>
          <w:rFonts w:ascii="Times New Roman" w:hAnsi="Times New Roman" w:cs="Times New Roman"/>
          <w:i/>
        </w:rPr>
      </w:pPr>
      <w:r w:rsidRPr="00FF3EF3">
        <w:rPr>
          <w:rFonts w:ascii="Times New Roman" w:hAnsi="Times New Roman" w:cs="Times New Roman"/>
          <w:i/>
        </w:rPr>
        <w:t>Building Staff information,</w:t>
      </w:r>
    </w:p>
    <w:p w:rsidR="00774A8F" w:rsidRPr="00FF3EF3" w:rsidRDefault="00774A8F" w:rsidP="00FF3EF3">
      <w:pPr>
        <w:numPr>
          <w:ilvl w:val="0"/>
          <w:numId w:val="38"/>
        </w:numPr>
        <w:tabs>
          <w:tab w:val="left" w:pos="1440"/>
        </w:tabs>
        <w:jc w:val="both"/>
        <w:rPr>
          <w:rFonts w:ascii="Times New Roman" w:hAnsi="Times New Roman" w:cs="Times New Roman"/>
          <w:i/>
        </w:rPr>
      </w:pPr>
      <w:r w:rsidRPr="00FF3EF3">
        <w:rPr>
          <w:rFonts w:ascii="Times New Roman" w:hAnsi="Times New Roman" w:cs="Times New Roman"/>
          <w:i/>
        </w:rPr>
        <w:t>List of repairs completed during investigation,</w:t>
      </w:r>
    </w:p>
    <w:p w:rsidR="00774A8F" w:rsidRPr="00FF3EF3" w:rsidRDefault="00774A8F" w:rsidP="00FF3EF3">
      <w:pPr>
        <w:numPr>
          <w:ilvl w:val="0"/>
          <w:numId w:val="38"/>
        </w:numPr>
        <w:tabs>
          <w:tab w:val="left" w:pos="1440"/>
        </w:tabs>
        <w:jc w:val="both"/>
        <w:rPr>
          <w:rFonts w:ascii="Times New Roman" w:hAnsi="Times New Roman" w:cs="Times New Roman"/>
          <w:i/>
        </w:rPr>
      </w:pPr>
      <w:r w:rsidRPr="00FF3EF3">
        <w:rPr>
          <w:rFonts w:ascii="Times New Roman" w:hAnsi="Times New Roman" w:cs="Times New Roman"/>
          <w:i/>
        </w:rPr>
        <w:t>List of deficiencies corrected, including, for each deficiency, the date corrected, by whom the correction was made, the actual cost, projected annual savings, the net present value, and simple payback for each measure,</w:t>
      </w:r>
    </w:p>
    <w:p w:rsidR="00081D97" w:rsidRPr="00FF3EF3" w:rsidRDefault="00081D97" w:rsidP="00FF3EF3">
      <w:pPr>
        <w:numPr>
          <w:ilvl w:val="0"/>
          <w:numId w:val="38"/>
        </w:numPr>
        <w:tabs>
          <w:tab w:val="left" w:pos="1440"/>
        </w:tabs>
        <w:jc w:val="both"/>
        <w:rPr>
          <w:rFonts w:ascii="Times New Roman" w:hAnsi="Times New Roman" w:cs="Times New Roman"/>
          <w:i/>
        </w:rPr>
      </w:pPr>
      <w:r w:rsidRPr="00FF3EF3">
        <w:rPr>
          <w:rFonts w:ascii="Times New Roman" w:hAnsi="Times New Roman" w:cs="Times New Roman"/>
          <w:i/>
        </w:rPr>
        <w:t>Testing protocol, including a list of all equipment types tested, a list of the sample rates (percent of each type of equipment tested) for each equipment type tested, the testing methodology, including any diagnostic equipment used, and the test results, and a list of integ</w:t>
      </w:r>
      <w:r w:rsidR="00774A8F" w:rsidRPr="00FF3EF3">
        <w:rPr>
          <w:rFonts w:ascii="Times New Roman" w:hAnsi="Times New Roman" w:cs="Times New Roman"/>
          <w:i/>
        </w:rPr>
        <w:t xml:space="preserve">rated system testing performed, </w:t>
      </w:r>
      <w:r w:rsidRPr="00FF3EF3">
        <w:rPr>
          <w:rFonts w:ascii="Times New Roman" w:hAnsi="Times New Roman" w:cs="Times New Roman"/>
          <w:i/>
        </w:rPr>
        <w:t>and</w:t>
      </w:r>
    </w:p>
    <w:p w:rsidR="00081D97" w:rsidRPr="00FF3EF3" w:rsidRDefault="00081D97" w:rsidP="00FF3EF3">
      <w:pPr>
        <w:numPr>
          <w:ilvl w:val="0"/>
          <w:numId w:val="38"/>
        </w:numPr>
        <w:tabs>
          <w:tab w:val="left" w:pos="1440"/>
        </w:tabs>
        <w:jc w:val="both"/>
        <w:rPr>
          <w:rFonts w:ascii="Times New Roman" w:hAnsi="Times New Roman" w:cs="Times New Roman"/>
          <w:i/>
        </w:rPr>
      </w:pPr>
      <w:r w:rsidRPr="00FF3EF3">
        <w:rPr>
          <w:rFonts w:ascii="Times New Roman" w:hAnsi="Times New Roman" w:cs="Times New Roman"/>
          <w:i/>
        </w:rPr>
        <w:t>Master list of findings, including for each, the name of the retro- commissioning measure, a brief description of the measure, recommended corrections, the benefits attained, estimated annual savings (energy and cost), the estimated implementation cost,</w:t>
      </w:r>
      <w:r w:rsidR="00A85431" w:rsidRPr="00FF3EF3">
        <w:rPr>
          <w:rFonts w:ascii="Times New Roman" w:hAnsi="Times New Roman" w:cs="Times New Roman"/>
          <w:i/>
        </w:rPr>
        <w:t xml:space="preserve"> the net present value,</w:t>
      </w:r>
      <w:r w:rsidRPr="00FF3EF3">
        <w:rPr>
          <w:rFonts w:ascii="Times New Roman" w:hAnsi="Times New Roman" w:cs="Times New Roman"/>
          <w:i/>
        </w:rPr>
        <w:t xml:space="preserve"> and the simple payback.</w:t>
      </w:r>
    </w:p>
    <w:p w:rsidR="00081D97" w:rsidRPr="00FF3EF3" w:rsidRDefault="00081D97"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Simple payback</w:t>
      </w:r>
      <w:r w:rsidR="00081D97" w:rsidRPr="00FF3EF3">
        <w:rPr>
          <w:rFonts w:ascii="Times New Roman" w:hAnsi="Times New Roman" w:cs="Times New Roman"/>
          <w:i/>
        </w:rPr>
        <w:t xml:space="preserve"> means the number of years for the projected annual energy savings to equal the amount invested in the energy conservation measure, as determined by dividing the investment by the annual energy savings.</w:t>
      </w:r>
    </w:p>
    <w:p w:rsidR="00081D97" w:rsidRPr="00FF3EF3" w:rsidRDefault="00081D97"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Space</w:t>
      </w:r>
      <w:r w:rsidR="00081D97" w:rsidRPr="00FF3EF3">
        <w:rPr>
          <w:rFonts w:ascii="Times New Roman" w:hAnsi="Times New Roman" w:cs="Times New Roman"/>
          <w:i/>
        </w:rPr>
        <w:t xml:space="preserve"> means an area within a building enclosed by floor to ceiling walls, partitions, windows and doors.</w:t>
      </w:r>
    </w:p>
    <w:p w:rsidR="00081D97" w:rsidRPr="00FF3EF3" w:rsidRDefault="00081D97"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S</w:t>
      </w:r>
      <w:r w:rsidR="00081D97" w:rsidRPr="00FF3EF3">
        <w:rPr>
          <w:rFonts w:ascii="Times New Roman" w:hAnsi="Times New Roman" w:cs="Times New Roman"/>
          <w:i/>
        </w:rPr>
        <w:t>ubstantial</w:t>
      </w:r>
      <w:r w:rsidRPr="00FF3EF3">
        <w:rPr>
          <w:rFonts w:ascii="Times New Roman" w:hAnsi="Times New Roman" w:cs="Times New Roman"/>
          <w:i/>
        </w:rPr>
        <w:t xml:space="preserve"> improvement</w:t>
      </w:r>
      <w:r w:rsidR="00081D97" w:rsidRPr="00FF3EF3">
        <w:rPr>
          <w:rFonts w:ascii="Times New Roman" w:hAnsi="Times New Roman" w:cs="Times New Roman"/>
          <w:i/>
        </w:rPr>
        <w:t xml:space="preserve"> means any repair, reconstruction, rehabilitation, addition, or improvement of a property, the cost of which equals or exceeds 50 percent of the market value of the property before the improvement or repair is started.</w:t>
      </w:r>
    </w:p>
    <w:p w:rsidR="00081D97" w:rsidRPr="00FF3EF3" w:rsidRDefault="00081D97"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S</w:t>
      </w:r>
      <w:r w:rsidR="00081D97" w:rsidRPr="00FF3EF3">
        <w:rPr>
          <w:rFonts w:ascii="Times New Roman" w:hAnsi="Times New Roman" w:cs="Times New Roman"/>
          <w:i/>
        </w:rPr>
        <w:t>ummary audit re</w:t>
      </w:r>
      <w:r w:rsidRPr="00FF3EF3">
        <w:rPr>
          <w:rFonts w:ascii="Times New Roman" w:hAnsi="Times New Roman" w:cs="Times New Roman"/>
          <w:i/>
        </w:rPr>
        <w:t>port</w:t>
      </w:r>
      <w:r w:rsidR="00081D97" w:rsidRPr="00FF3EF3">
        <w:rPr>
          <w:rFonts w:ascii="Times New Roman" w:hAnsi="Times New Roman" w:cs="Times New Roman"/>
          <w:i/>
        </w:rPr>
        <w:t xml:space="preserve"> means the abbreviated report certified by the energy auditor on a form determined by the </w:t>
      </w:r>
      <w:r w:rsidR="00152AE1" w:rsidRPr="00FF3EF3">
        <w:rPr>
          <w:rFonts w:ascii="Times New Roman" w:hAnsi="Times New Roman" w:cs="Times New Roman"/>
          <w:i/>
        </w:rPr>
        <w:t>Department</w:t>
      </w:r>
      <w:r w:rsidR="00081D97" w:rsidRPr="00FF3EF3">
        <w:rPr>
          <w:rFonts w:ascii="Times New Roman" w:hAnsi="Times New Roman" w:cs="Times New Roman"/>
          <w:i/>
        </w:rPr>
        <w:t xml:space="preserve"> that shall include at a minimum:</w:t>
      </w:r>
    </w:p>
    <w:p w:rsidR="00081D97" w:rsidRPr="00FF3EF3" w:rsidRDefault="00081D97" w:rsidP="00FF3EF3">
      <w:pPr>
        <w:numPr>
          <w:ilvl w:val="0"/>
          <w:numId w:val="17"/>
        </w:numPr>
        <w:tabs>
          <w:tab w:val="left" w:pos="1710"/>
        </w:tabs>
        <w:ind w:left="1440"/>
        <w:jc w:val="both"/>
        <w:rPr>
          <w:rFonts w:ascii="Times New Roman" w:hAnsi="Times New Roman" w:cs="Times New Roman"/>
          <w:i/>
        </w:rPr>
      </w:pPr>
      <w:r w:rsidRPr="00FF3EF3">
        <w:rPr>
          <w:rFonts w:ascii="Times New Roman" w:hAnsi="Times New Roman" w:cs="Times New Roman"/>
          <w:i/>
        </w:rPr>
        <w:t>Information on the energy auditor and his/her team,</w:t>
      </w:r>
    </w:p>
    <w:p w:rsidR="00081D97" w:rsidRPr="00FF3EF3" w:rsidRDefault="00081D97" w:rsidP="00FF3EF3">
      <w:pPr>
        <w:numPr>
          <w:ilvl w:val="0"/>
          <w:numId w:val="17"/>
        </w:numPr>
        <w:tabs>
          <w:tab w:val="left" w:pos="1710"/>
        </w:tabs>
        <w:ind w:left="1440"/>
        <w:jc w:val="both"/>
        <w:rPr>
          <w:rFonts w:ascii="Times New Roman" w:hAnsi="Times New Roman" w:cs="Times New Roman"/>
          <w:i/>
        </w:rPr>
      </w:pPr>
      <w:r w:rsidRPr="00FF3EF3">
        <w:rPr>
          <w:rFonts w:ascii="Times New Roman" w:hAnsi="Times New Roman" w:cs="Times New Roman"/>
          <w:i/>
        </w:rPr>
        <w:t>The date the audit was completed,</w:t>
      </w:r>
    </w:p>
    <w:p w:rsidR="00081D97" w:rsidRPr="00FF3EF3" w:rsidRDefault="00081D97" w:rsidP="00FF3EF3">
      <w:pPr>
        <w:numPr>
          <w:ilvl w:val="0"/>
          <w:numId w:val="17"/>
        </w:numPr>
        <w:tabs>
          <w:tab w:val="left" w:pos="1710"/>
        </w:tabs>
        <w:ind w:left="1440"/>
        <w:jc w:val="both"/>
        <w:rPr>
          <w:rFonts w:ascii="Times New Roman" w:hAnsi="Times New Roman" w:cs="Times New Roman"/>
          <w:i/>
        </w:rPr>
      </w:pPr>
      <w:r w:rsidRPr="00FF3EF3">
        <w:rPr>
          <w:rFonts w:ascii="Times New Roman" w:hAnsi="Times New Roman" w:cs="Times New Roman"/>
          <w:i/>
        </w:rPr>
        <w:t>Property information (such as building address, building age, gross floor area as defined by ENERGY STAR Portfolio Manager’s glossary, number of b</w:t>
      </w:r>
      <w:r w:rsidR="00774A8F" w:rsidRPr="00FF3EF3">
        <w:rPr>
          <w:rFonts w:ascii="Times New Roman" w:hAnsi="Times New Roman" w:cs="Times New Roman"/>
          <w:i/>
        </w:rPr>
        <w:t>uildings on the property, etc.).</w:t>
      </w:r>
    </w:p>
    <w:p w:rsidR="008D0642" w:rsidRPr="00FF3EF3" w:rsidRDefault="008D0642" w:rsidP="00FF3EF3">
      <w:pPr>
        <w:numPr>
          <w:ilvl w:val="0"/>
          <w:numId w:val="17"/>
        </w:numPr>
        <w:tabs>
          <w:tab w:val="left" w:pos="1710"/>
        </w:tabs>
        <w:ind w:left="1440"/>
        <w:jc w:val="both"/>
        <w:rPr>
          <w:rFonts w:ascii="Times New Roman" w:hAnsi="Times New Roman" w:cs="Times New Roman"/>
          <w:i/>
        </w:rPr>
      </w:pPr>
      <w:r w:rsidRPr="00FF3EF3">
        <w:rPr>
          <w:rFonts w:ascii="Times New Roman" w:hAnsi="Times New Roman" w:cs="Times New Roman"/>
          <w:i/>
        </w:rPr>
        <w:t>The total number of identified recommended measures, the estimated sum of total installed costs and the estimated value of savings from the implementation of said measures.</w:t>
      </w:r>
    </w:p>
    <w:p w:rsidR="00EA22B8" w:rsidRPr="00FF3EF3" w:rsidRDefault="00EA22B8" w:rsidP="00FF3EF3">
      <w:pPr>
        <w:jc w:val="both"/>
        <w:rPr>
          <w:rFonts w:ascii="Times New Roman" w:hAnsi="Times New Roman" w:cs="Times New Roman"/>
          <w:i/>
        </w:rPr>
      </w:pPr>
    </w:p>
    <w:p w:rsidR="00BC3535" w:rsidRPr="00FF3EF3" w:rsidRDefault="00BC3535" w:rsidP="00FF3EF3">
      <w:pPr>
        <w:jc w:val="both"/>
        <w:rPr>
          <w:rFonts w:ascii="Times New Roman" w:hAnsi="Times New Roman" w:cs="Times New Roman"/>
          <w:i/>
        </w:rPr>
      </w:pPr>
      <w:r w:rsidRPr="00FF3EF3">
        <w:rPr>
          <w:rFonts w:ascii="Times New Roman" w:hAnsi="Times New Roman" w:cs="Times New Roman"/>
          <w:i/>
        </w:rPr>
        <w:t>Summary retro-commissioning report means the abbreviated report certified by the retro-commissioning professional on a form determined by the Department that shall include at a minimum:</w:t>
      </w:r>
    </w:p>
    <w:p w:rsidR="00BC3535" w:rsidRPr="00FF3EF3" w:rsidRDefault="00BC3535" w:rsidP="00FF3EF3">
      <w:pPr>
        <w:numPr>
          <w:ilvl w:val="0"/>
          <w:numId w:val="14"/>
        </w:numPr>
        <w:jc w:val="both"/>
        <w:rPr>
          <w:rFonts w:ascii="Times New Roman" w:hAnsi="Times New Roman" w:cs="Times New Roman"/>
          <w:i/>
        </w:rPr>
      </w:pPr>
      <w:r w:rsidRPr="00FF3EF3">
        <w:rPr>
          <w:rFonts w:ascii="Times New Roman" w:hAnsi="Times New Roman" w:cs="Times New Roman"/>
          <w:i/>
        </w:rPr>
        <w:t>Retro-commissioning team information,</w:t>
      </w:r>
    </w:p>
    <w:p w:rsidR="00BC3535" w:rsidRPr="00FF3EF3" w:rsidRDefault="00BC3535" w:rsidP="00FF3EF3">
      <w:pPr>
        <w:numPr>
          <w:ilvl w:val="0"/>
          <w:numId w:val="14"/>
        </w:numPr>
        <w:jc w:val="both"/>
        <w:rPr>
          <w:rFonts w:ascii="Times New Roman" w:hAnsi="Times New Roman" w:cs="Times New Roman"/>
          <w:i/>
        </w:rPr>
      </w:pPr>
      <w:r w:rsidRPr="00FF3EF3">
        <w:rPr>
          <w:rFonts w:ascii="Times New Roman" w:hAnsi="Times New Roman" w:cs="Times New Roman"/>
          <w:i/>
        </w:rPr>
        <w:t>The date the retro-commissioning was completed,</w:t>
      </w:r>
    </w:p>
    <w:p w:rsidR="00BC3535" w:rsidRPr="00FF3EF3" w:rsidRDefault="00BC3535" w:rsidP="00FF3EF3">
      <w:pPr>
        <w:numPr>
          <w:ilvl w:val="0"/>
          <w:numId w:val="14"/>
        </w:numPr>
        <w:jc w:val="both"/>
        <w:rPr>
          <w:rFonts w:ascii="Times New Roman" w:hAnsi="Times New Roman" w:cs="Times New Roman"/>
          <w:i/>
        </w:rPr>
      </w:pPr>
      <w:r w:rsidRPr="00FF3EF3">
        <w:rPr>
          <w:rFonts w:ascii="Times New Roman" w:hAnsi="Times New Roman" w:cs="Times New Roman"/>
          <w:i/>
        </w:rPr>
        <w:t>Property information (such as building address, building age, gross floor area as defined by ENERGY STAR Portfolio Manager’s glossary, number of buildings on the property, etc.),</w:t>
      </w:r>
    </w:p>
    <w:p w:rsidR="00BC3535" w:rsidRPr="00FF3EF3" w:rsidRDefault="00BC3535" w:rsidP="00FF3EF3">
      <w:pPr>
        <w:numPr>
          <w:ilvl w:val="0"/>
          <w:numId w:val="14"/>
        </w:numPr>
        <w:tabs>
          <w:tab w:val="left" w:pos="1710"/>
        </w:tabs>
        <w:jc w:val="both"/>
        <w:rPr>
          <w:rFonts w:ascii="Times New Roman" w:hAnsi="Times New Roman" w:cs="Times New Roman"/>
          <w:i/>
        </w:rPr>
      </w:pPr>
      <w:r w:rsidRPr="00FF3EF3">
        <w:rPr>
          <w:rFonts w:ascii="Times New Roman" w:hAnsi="Times New Roman" w:cs="Times New Roman"/>
          <w:i/>
        </w:rPr>
        <w:t>The total number of identified recommended measures, the estimated sum of total installed costs and the estimated value of savings from the implementation of said measures.</w:t>
      </w:r>
    </w:p>
    <w:p w:rsidR="00BC3535" w:rsidRPr="00FF3EF3" w:rsidRDefault="00BC3535"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S</w:t>
      </w:r>
      <w:r w:rsidR="00081D97" w:rsidRPr="00FF3EF3">
        <w:rPr>
          <w:rFonts w:ascii="Times New Roman" w:hAnsi="Times New Roman" w:cs="Times New Roman"/>
          <w:i/>
        </w:rPr>
        <w:t>ystem</w:t>
      </w:r>
      <w:r w:rsidRPr="00FF3EF3">
        <w:rPr>
          <w:rFonts w:ascii="Times New Roman" w:hAnsi="Times New Roman" w:cs="Times New Roman"/>
          <w:i/>
        </w:rPr>
        <w:t xml:space="preserve"> or subsystem</w:t>
      </w:r>
      <w:r w:rsidR="00081D97" w:rsidRPr="00FF3EF3">
        <w:rPr>
          <w:rFonts w:ascii="Times New Roman" w:hAnsi="Times New Roman" w:cs="Times New Roman"/>
          <w:i/>
        </w:rPr>
        <w:t xml:space="preserve"> means a building assembly made up of various components that serve a specific function including but not limited to exterior walls, windows, doors, roofs, ceilings, floors, lighting, piping, ductwork, insulation, HVAC system equipment or components, electrical appliances and plumbing appliances.</w:t>
      </w:r>
    </w:p>
    <w:p w:rsidR="00081D97" w:rsidRPr="00FF3EF3" w:rsidRDefault="00081D97" w:rsidP="00FF3EF3">
      <w:pPr>
        <w:jc w:val="both"/>
        <w:rPr>
          <w:rFonts w:ascii="Times New Roman" w:hAnsi="Times New Roman" w:cs="Times New Roman"/>
          <w:i/>
        </w:rPr>
      </w:pPr>
    </w:p>
    <w:p w:rsidR="00081D97" w:rsidRPr="00FF3EF3" w:rsidRDefault="00875A5A" w:rsidP="00FF3EF3">
      <w:pPr>
        <w:jc w:val="both"/>
        <w:rPr>
          <w:rFonts w:ascii="Times New Roman" w:hAnsi="Times New Roman" w:cs="Times New Roman"/>
          <w:i/>
        </w:rPr>
      </w:pPr>
      <w:r w:rsidRPr="00FF3EF3">
        <w:rPr>
          <w:rFonts w:ascii="Times New Roman" w:hAnsi="Times New Roman" w:cs="Times New Roman"/>
          <w:i/>
        </w:rPr>
        <w:t>Tenant means a person or entity occupying or holding possession of a building, part of a building or premises pursuant to a rental agreement, contract lease, or license agreement for the rental or use of the real property</w:t>
      </w:r>
      <w:r w:rsidR="00081D97" w:rsidRPr="00FF3EF3">
        <w:rPr>
          <w:rFonts w:ascii="Times New Roman" w:hAnsi="Times New Roman" w:cs="Times New Roman"/>
          <w:i/>
        </w:rPr>
        <w:t>;</w:t>
      </w:r>
    </w:p>
    <w:p w:rsidR="00081D97" w:rsidRPr="00FF3EF3" w:rsidRDefault="00081D97"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Utility</w:t>
      </w:r>
      <w:r w:rsidR="00081D97" w:rsidRPr="00FF3EF3">
        <w:rPr>
          <w:rFonts w:ascii="Times New Roman" w:hAnsi="Times New Roman" w:cs="Times New Roman"/>
          <w:i/>
        </w:rPr>
        <w:t xml:space="preserve"> means an entity that distributes and sells natural gas, electric, oil or thermal energy services for buildings.</w:t>
      </w:r>
    </w:p>
    <w:p w:rsidR="00081D97" w:rsidRPr="00FF3EF3" w:rsidRDefault="00081D97" w:rsidP="00FF3EF3">
      <w:pPr>
        <w:jc w:val="both"/>
        <w:rPr>
          <w:rFonts w:ascii="Times New Roman" w:hAnsi="Times New Roman" w:cs="Times New Roman"/>
          <w:i/>
        </w:rPr>
      </w:pPr>
    </w:p>
    <w:p w:rsidR="00081D97" w:rsidRPr="00FF3EF3" w:rsidRDefault="002A7ABB" w:rsidP="00FF3EF3">
      <w:pPr>
        <w:jc w:val="both"/>
        <w:rPr>
          <w:rFonts w:ascii="Times New Roman" w:hAnsi="Times New Roman" w:cs="Times New Roman"/>
          <w:i/>
        </w:rPr>
      </w:pPr>
      <w:r w:rsidRPr="00FF3EF3">
        <w:rPr>
          <w:rFonts w:ascii="Times New Roman" w:hAnsi="Times New Roman" w:cs="Times New Roman"/>
          <w:i/>
        </w:rPr>
        <w:t>Water auditor</w:t>
      </w:r>
      <w:r w:rsidR="00081D97" w:rsidRPr="00FF3EF3">
        <w:rPr>
          <w:rFonts w:ascii="Times New Roman" w:hAnsi="Times New Roman" w:cs="Times New Roman"/>
          <w:i/>
        </w:rPr>
        <w:t xml:space="preserve"> means an individual possessing such </w:t>
      </w:r>
      <w:r w:rsidR="00FB660C" w:rsidRPr="00FF3EF3">
        <w:rPr>
          <w:rFonts w:ascii="Times New Roman" w:hAnsi="Times New Roman" w:cs="Times New Roman"/>
          <w:i/>
        </w:rPr>
        <w:t>credentials</w:t>
      </w:r>
      <w:r w:rsidR="00081D97" w:rsidRPr="00FF3EF3">
        <w:rPr>
          <w:rFonts w:ascii="Times New Roman" w:hAnsi="Times New Roman" w:cs="Times New Roman"/>
          <w:i/>
        </w:rPr>
        <w:t xml:space="preserve"> as determined by the </w:t>
      </w:r>
      <w:r w:rsidR="00152AE1" w:rsidRPr="00FF3EF3">
        <w:rPr>
          <w:rFonts w:ascii="Times New Roman" w:hAnsi="Times New Roman" w:cs="Times New Roman"/>
          <w:i/>
        </w:rPr>
        <w:t>Department</w:t>
      </w:r>
      <w:r w:rsidR="00081D97" w:rsidRPr="00FF3EF3">
        <w:rPr>
          <w:rFonts w:ascii="Times New Roman" w:hAnsi="Times New Roman" w:cs="Times New Roman"/>
          <w:i/>
        </w:rPr>
        <w:t xml:space="preserve"> to perform or directly supervise individuals performing water audits and to certify audit reports required by this ordinance.</w:t>
      </w:r>
      <w:r w:rsidR="005C0912" w:rsidRPr="00FF3EF3">
        <w:rPr>
          <w:rFonts w:ascii="Times New Roman" w:hAnsi="Times New Roman" w:cs="Times New Roman"/>
          <w:i/>
        </w:rPr>
        <w:t>”</w:t>
      </w:r>
    </w:p>
    <w:p w:rsidR="00081D97" w:rsidRPr="00FF3EF3" w:rsidRDefault="00081D97" w:rsidP="00FF3EF3">
      <w:pPr>
        <w:jc w:val="both"/>
        <w:rPr>
          <w:rFonts w:ascii="Times New Roman" w:hAnsi="Times New Roman" w:cs="Times New Roman"/>
          <w:b/>
        </w:rPr>
      </w:pPr>
    </w:p>
    <w:p w:rsidR="00A243AD" w:rsidRPr="00FF3EF3" w:rsidRDefault="00A243AD" w:rsidP="00FF3EF3">
      <w:pPr>
        <w:jc w:val="both"/>
        <w:rPr>
          <w:rFonts w:ascii="Times New Roman" w:hAnsi="Times New Roman" w:cs="Times New Roman"/>
        </w:rPr>
      </w:pPr>
      <w:r w:rsidRPr="00FF3EF3">
        <w:rPr>
          <w:rFonts w:ascii="Times New Roman" w:hAnsi="Times New Roman" w:cs="Times New Roman"/>
          <w:b/>
          <w:u w:val="single"/>
        </w:rPr>
        <w:t>Section 2</w:t>
      </w:r>
      <w:r w:rsidR="00081D97" w:rsidRPr="00FF3EF3">
        <w:rPr>
          <w:rFonts w:ascii="Times New Roman" w:hAnsi="Times New Roman" w:cs="Times New Roman"/>
          <w:b/>
          <w:u w:val="single"/>
        </w:rPr>
        <w:t>.</w:t>
      </w:r>
      <w:r w:rsidR="00081D97" w:rsidRPr="00FF3EF3">
        <w:rPr>
          <w:rFonts w:ascii="Times New Roman" w:hAnsi="Times New Roman" w:cs="Times New Roman"/>
          <w:b/>
        </w:rPr>
        <w:t xml:space="preserve"> </w:t>
      </w:r>
      <w:r w:rsidRPr="00FF3EF3">
        <w:rPr>
          <w:rFonts w:ascii="Times New Roman" w:hAnsi="Times New Roman" w:cs="Times New Roman"/>
        </w:rPr>
        <w:t xml:space="preserve">That </w:t>
      </w:r>
      <w:r w:rsidR="0003391A" w:rsidRPr="00FF3EF3">
        <w:rPr>
          <w:rFonts w:ascii="Times New Roman" w:hAnsi="Times New Roman" w:cs="Times New Roman"/>
        </w:rPr>
        <w:t xml:space="preserve">Part III, Part 8, Community and Human Development, Chapter 2, Building Regulations, </w:t>
      </w:r>
      <w:r w:rsidRPr="00FF3EF3">
        <w:rPr>
          <w:rFonts w:ascii="Times New Roman" w:hAnsi="Times New Roman" w:cs="Times New Roman"/>
        </w:rPr>
        <w:t>of the Land Development Code of the City of</w:t>
      </w:r>
      <w:r w:rsidR="00F552D9" w:rsidRPr="00FF3EF3">
        <w:rPr>
          <w:rFonts w:ascii="Times New Roman" w:hAnsi="Times New Roman" w:cs="Times New Roman"/>
        </w:rPr>
        <w:t xml:space="preserve"> Atlanta City Code of Ordinances</w:t>
      </w:r>
      <w:r w:rsidRPr="00FF3EF3">
        <w:rPr>
          <w:rFonts w:ascii="Times New Roman" w:hAnsi="Times New Roman" w:cs="Times New Roman"/>
        </w:rPr>
        <w:t xml:space="preserve"> be amended by adding a new Article (J) as follows:</w:t>
      </w:r>
    </w:p>
    <w:p w:rsidR="00A243AD" w:rsidRPr="00FF3EF3" w:rsidRDefault="00A243AD" w:rsidP="00FF3EF3">
      <w:pPr>
        <w:jc w:val="both"/>
        <w:rPr>
          <w:rFonts w:ascii="Times New Roman" w:hAnsi="Times New Roman" w:cs="Times New Roman"/>
          <w:b/>
        </w:rPr>
      </w:pPr>
    </w:p>
    <w:p w:rsidR="005C0912" w:rsidRPr="00FF3EF3" w:rsidRDefault="005C0912" w:rsidP="00FF3EF3">
      <w:pPr>
        <w:jc w:val="both"/>
        <w:rPr>
          <w:rFonts w:ascii="Times New Roman" w:hAnsi="Times New Roman" w:cs="Times New Roman"/>
          <w:i/>
        </w:rPr>
      </w:pPr>
      <w:r w:rsidRPr="00FF3EF3">
        <w:rPr>
          <w:rFonts w:ascii="Times New Roman" w:hAnsi="Times New Roman" w:cs="Times New Roman"/>
          <w:i/>
        </w:rPr>
        <w:t>“Article J</w:t>
      </w:r>
      <w:r w:rsidR="00A841B6" w:rsidRPr="00FF3EF3">
        <w:rPr>
          <w:rFonts w:ascii="Times New Roman" w:hAnsi="Times New Roman" w:cs="Times New Roman"/>
          <w:i/>
        </w:rPr>
        <w:t>. Energy and Water</w:t>
      </w:r>
    </w:p>
    <w:p w:rsidR="00A841B6" w:rsidRPr="00FF3EF3" w:rsidRDefault="00A841B6" w:rsidP="00FF3EF3">
      <w:pPr>
        <w:jc w:val="both"/>
        <w:rPr>
          <w:rFonts w:ascii="Times New Roman" w:hAnsi="Times New Roman" w:cs="Times New Roman"/>
          <w:i/>
        </w:rPr>
      </w:pPr>
    </w:p>
    <w:p w:rsidR="00A841B6" w:rsidRPr="00FF3EF3" w:rsidRDefault="00A841B6" w:rsidP="00FF3EF3">
      <w:pPr>
        <w:jc w:val="both"/>
        <w:rPr>
          <w:rFonts w:ascii="Times New Roman" w:hAnsi="Times New Roman" w:cs="Times New Roman"/>
          <w:i/>
        </w:rPr>
      </w:pPr>
      <w:r w:rsidRPr="00FF3EF3">
        <w:rPr>
          <w:rFonts w:ascii="Times New Roman" w:hAnsi="Times New Roman" w:cs="Times New Roman"/>
          <w:i/>
        </w:rPr>
        <w:lastRenderedPageBreak/>
        <w:t>Section 8-2222. – Benchmarking Requirements</w:t>
      </w:r>
      <w:r w:rsidR="0054050F" w:rsidRPr="00FF3EF3">
        <w:rPr>
          <w:rFonts w:ascii="Times New Roman" w:hAnsi="Times New Roman" w:cs="Times New Roman"/>
          <w:i/>
        </w:rPr>
        <w:t>.</w:t>
      </w:r>
    </w:p>
    <w:p w:rsidR="00081D97" w:rsidRPr="00FF3EF3" w:rsidRDefault="00081D97" w:rsidP="00FF3EF3">
      <w:pPr>
        <w:jc w:val="both"/>
        <w:rPr>
          <w:rFonts w:ascii="Times New Roman" w:hAnsi="Times New Roman" w:cs="Times New Roman"/>
        </w:rPr>
      </w:pPr>
    </w:p>
    <w:p w:rsidR="00081D97" w:rsidRPr="00FF3EF3" w:rsidRDefault="00081D97" w:rsidP="00FF3EF3">
      <w:pPr>
        <w:numPr>
          <w:ilvl w:val="0"/>
          <w:numId w:val="6"/>
        </w:numPr>
        <w:jc w:val="both"/>
        <w:rPr>
          <w:rFonts w:ascii="Times New Roman" w:hAnsi="Times New Roman" w:cs="Times New Roman"/>
          <w:i/>
        </w:rPr>
      </w:pPr>
      <w:r w:rsidRPr="00FF3EF3">
        <w:rPr>
          <w:rFonts w:ascii="Times New Roman" w:hAnsi="Times New Roman" w:cs="Times New Roman"/>
          <w:i/>
        </w:rPr>
        <w:t xml:space="preserve">No later than April 1, 2015, and no later than every June 1 each year thereafter, each covered city property shall be benchmarked for the previous calendar year by the </w:t>
      </w:r>
      <w:r w:rsidR="00152AE1" w:rsidRPr="00FF3EF3">
        <w:rPr>
          <w:rFonts w:ascii="Times New Roman" w:hAnsi="Times New Roman" w:cs="Times New Roman"/>
          <w:i/>
        </w:rPr>
        <w:t>City Department</w:t>
      </w:r>
      <w:r w:rsidRPr="00FF3EF3">
        <w:rPr>
          <w:rFonts w:ascii="Times New Roman" w:hAnsi="Times New Roman" w:cs="Times New Roman"/>
          <w:i/>
        </w:rPr>
        <w:t xml:space="preserve"> primarily responsible for the management of such property, in coordination with the </w:t>
      </w:r>
      <w:r w:rsidR="00152AE1" w:rsidRPr="00FF3EF3">
        <w:rPr>
          <w:rFonts w:ascii="Times New Roman" w:hAnsi="Times New Roman" w:cs="Times New Roman"/>
          <w:i/>
        </w:rPr>
        <w:t>Department</w:t>
      </w:r>
      <w:r w:rsidRPr="00FF3EF3">
        <w:rPr>
          <w:rFonts w:ascii="Times New Roman" w:hAnsi="Times New Roman" w:cs="Times New Roman"/>
          <w:i/>
        </w:rPr>
        <w:t>.</w:t>
      </w:r>
    </w:p>
    <w:p w:rsidR="00081D97" w:rsidRPr="00FF3EF3" w:rsidRDefault="00081D97" w:rsidP="00FF3EF3">
      <w:pPr>
        <w:ind w:firstLine="720"/>
        <w:jc w:val="both"/>
        <w:rPr>
          <w:rFonts w:ascii="Times New Roman" w:hAnsi="Times New Roman" w:cs="Times New Roman"/>
          <w:i/>
        </w:rPr>
      </w:pPr>
      <w:r w:rsidRPr="00FF3EF3">
        <w:rPr>
          <w:rFonts w:ascii="Times New Roman" w:hAnsi="Times New Roman" w:cs="Times New Roman"/>
          <w:i/>
        </w:rPr>
        <w:t>Exception: Benchmarking is not required for a covered city property:</w:t>
      </w:r>
    </w:p>
    <w:p w:rsidR="00081D97" w:rsidRPr="00FF3EF3" w:rsidRDefault="00081D97" w:rsidP="00FF3EF3">
      <w:pPr>
        <w:numPr>
          <w:ilvl w:val="1"/>
          <w:numId w:val="6"/>
        </w:numPr>
        <w:jc w:val="both"/>
        <w:rPr>
          <w:rFonts w:ascii="Times New Roman" w:hAnsi="Times New Roman" w:cs="Times New Roman"/>
          <w:i/>
        </w:rPr>
      </w:pPr>
      <w:r w:rsidRPr="00FF3EF3">
        <w:rPr>
          <w:rFonts w:ascii="Times New Roman" w:hAnsi="Times New Roman" w:cs="Times New Roman"/>
          <w:i/>
        </w:rPr>
        <w:t xml:space="preserve">if the property does not </w:t>
      </w:r>
      <w:r w:rsidR="00152AE1" w:rsidRPr="00FF3EF3">
        <w:rPr>
          <w:rFonts w:ascii="Times New Roman" w:hAnsi="Times New Roman" w:cs="Times New Roman"/>
          <w:i/>
        </w:rPr>
        <w:t>have a Certificate of Occupancy</w:t>
      </w:r>
      <w:r w:rsidRPr="00FF3EF3">
        <w:rPr>
          <w:rFonts w:ascii="Times New Roman" w:hAnsi="Times New Roman" w:cs="Times New Roman"/>
          <w:i/>
        </w:rPr>
        <w:t xml:space="preserve"> or tem</w:t>
      </w:r>
      <w:r w:rsidR="00152AE1" w:rsidRPr="00FF3EF3">
        <w:rPr>
          <w:rFonts w:ascii="Times New Roman" w:hAnsi="Times New Roman" w:cs="Times New Roman"/>
          <w:i/>
        </w:rPr>
        <w:t>porary Certificate of Occupancy</w:t>
      </w:r>
      <w:r w:rsidRPr="00FF3EF3">
        <w:rPr>
          <w:rFonts w:ascii="Times New Roman" w:hAnsi="Times New Roman" w:cs="Times New Roman"/>
          <w:i/>
        </w:rPr>
        <w:t xml:space="preserve"> for the entire calendar year being benchmarked, or</w:t>
      </w:r>
    </w:p>
    <w:p w:rsidR="00081D97" w:rsidRPr="00FF3EF3" w:rsidRDefault="00081D97" w:rsidP="00FF3EF3">
      <w:pPr>
        <w:numPr>
          <w:ilvl w:val="1"/>
          <w:numId w:val="6"/>
        </w:numPr>
        <w:jc w:val="both"/>
        <w:rPr>
          <w:rFonts w:ascii="Times New Roman" w:hAnsi="Times New Roman" w:cs="Times New Roman"/>
          <w:i/>
        </w:rPr>
      </w:pPr>
      <w:r w:rsidRPr="00FF3EF3">
        <w:rPr>
          <w:rFonts w:ascii="Times New Roman" w:hAnsi="Times New Roman" w:cs="Times New Roman"/>
          <w:i/>
        </w:rPr>
        <w:t xml:space="preserve">if full demolition permit has been issued, provided that demolition work has commenced, some energy-related systems have been compromised or legal occupancy is no </w:t>
      </w:r>
      <w:r w:rsidR="00DF1752" w:rsidRPr="00FF3EF3">
        <w:rPr>
          <w:rFonts w:ascii="Times New Roman" w:hAnsi="Times New Roman" w:cs="Times New Roman"/>
          <w:i/>
        </w:rPr>
        <w:t>longer possible prior to June 1, or</w:t>
      </w:r>
    </w:p>
    <w:p w:rsidR="00DF1752" w:rsidRPr="00FF3EF3" w:rsidRDefault="00DF1752" w:rsidP="00FF3EF3">
      <w:pPr>
        <w:numPr>
          <w:ilvl w:val="1"/>
          <w:numId w:val="6"/>
        </w:numPr>
        <w:jc w:val="both"/>
        <w:rPr>
          <w:rFonts w:ascii="Times New Roman" w:hAnsi="Times New Roman" w:cs="Times New Roman"/>
          <w:i/>
        </w:rPr>
      </w:pPr>
      <w:r w:rsidRPr="00FF3EF3">
        <w:rPr>
          <w:rFonts w:ascii="Times New Roman" w:hAnsi="Times New Roman" w:cs="Times New Roman"/>
          <w:i/>
        </w:rPr>
        <w:t>if the property does not receive utility services.</w:t>
      </w:r>
    </w:p>
    <w:p w:rsidR="00D80401" w:rsidRPr="00FF3EF3" w:rsidRDefault="00D80401" w:rsidP="00FF3EF3">
      <w:pPr>
        <w:ind w:left="1080"/>
        <w:jc w:val="both"/>
        <w:rPr>
          <w:rFonts w:ascii="Times New Roman" w:hAnsi="Times New Roman" w:cs="Times New Roman"/>
          <w:i/>
        </w:rPr>
      </w:pPr>
    </w:p>
    <w:p w:rsidR="00081D97" w:rsidRPr="00FF3EF3" w:rsidRDefault="00DF1752" w:rsidP="00FF3EF3">
      <w:pPr>
        <w:numPr>
          <w:ilvl w:val="0"/>
          <w:numId w:val="6"/>
        </w:numPr>
        <w:jc w:val="both"/>
        <w:rPr>
          <w:rFonts w:ascii="Times New Roman" w:hAnsi="Times New Roman" w:cs="Times New Roman"/>
          <w:i/>
        </w:rPr>
      </w:pPr>
      <w:r w:rsidRPr="00FF3EF3">
        <w:rPr>
          <w:rFonts w:ascii="Times New Roman" w:hAnsi="Times New Roman" w:cs="Times New Roman"/>
          <w:bCs/>
          <w:i/>
        </w:rPr>
        <w:t>N</w:t>
      </w:r>
      <w:r w:rsidR="00081D97" w:rsidRPr="00FF3EF3">
        <w:rPr>
          <w:rFonts w:ascii="Times New Roman" w:hAnsi="Times New Roman" w:cs="Times New Roman"/>
          <w:bCs/>
          <w:i/>
        </w:rPr>
        <w:t xml:space="preserve">o later than </w:t>
      </w:r>
      <w:r w:rsidR="000F6379" w:rsidRPr="00FF3EF3">
        <w:rPr>
          <w:rFonts w:ascii="Times New Roman" w:hAnsi="Times New Roman" w:cs="Times New Roman"/>
          <w:bCs/>
          <w:i/>
        </w:rPr>
        <w:t>90 days after the passage of this ordinance,</w:t>
      </w:r>
      <w:r w:rsidRPr="00FF3EF3">
        <w:rPr>
          <w:rFonts w:ascii="Times New Roman" w:hAnsi="Times New Roman" w:cs="Times New Roman"/>
          <w:bCs/>
          <w:i/>
        </w:rPr>
        <w:t xml:space="preserve"> and every June 1</w:t>
      </w:r>
      <w:r w:rsidR="00081D97" w:rsidRPr="00FF3EF3">
        <w:rPr>
          <w:rFonts w:ascii="Times New Roman" w:hAnsi="Times New Roman" w:cs="Times New Roman"/>
          <w:bCs/>
          <w:i/>
        </w:rPr>
        <w:t xml:space="preserve"> thereafter, the owner of a covered non-city property shall benchmark such property for the previous calendar year.</w:t>
      </w:r>
    </w:p>
    <w:p w:rsidR="00081D97" w:rsidRPr="00FF3EF3" w:rsidRDefault="00081D97" w:rsidP="00FF3EF3">
      <w:pPr>
        <w:ind w:firstLine="720"/>
        <w:jc w:val="both"/>
        <w:rPr>
          <w:rFonts w:ascii="Times New Roman" w:hAnsi="Times New Roman" w:cs="Times New Roman"/>
          <w:i/>
        </w:rPr>
      </w:pPr>
      <w:r w:rsidRPr="00FF3EF3">
        <w:rPr>
          <w:rFonts w:ascii="Times New Roman" w:hAnsi="Times New Roman" w:cs="Times New Roman"/>
          <w:i/>
        </w:rPr>
        <w:t>Exception: Benchmarking is not required for a covered non-city property:</w:t>
      </w:r>
    </w:p>
    <w:p w:rsidR="00081D97" w:rsidRPr="00FF3EF3" w:rsidRDefault="00081D97" w:rsidP="00FF3EF3">
      <w:pPr>
        <w:numPr>
          <w:ilvl w:val="1"/>
          <w:numId w:val="14"/>
        </w:numPr>
        <w:jc w:val="both"/>
        <w:rPr>
          <w:rFonts w:ascii="Times New Roman" w:hAnsi="Times New Roman" w:cs="Times New Roman"/>
          <w:i/>
        </w:rPr>
      </w:pPr>
      <w:r w:rsidRPr="00FF3EF3">
        <w:rPr>
          <w:rFonts w:ascii="Times New Roman" w:hAnsi="Times New Roman" w:cs="Times New Roman"/>
          <w:i/>
        </w:rPr>
        <w:t>if the property does not have a Certificate of Occupan</w:t>
      </w:r>
      <w:r w:rsidR="00152AE1" w:rsidRPr="00FF3EF3">
        <w:rPr>
          <w:rFonts w:ascii="Times New Roman" w:hAnsi="Times New Roman" w:cs="Times New Roman"/>
          <w:i/>
        </w:rPr>
        <w:t>cy</w:t>
      </w:r>
      <w:r w:rsidRPr="00FF3EF3">
        <w:rPr>
          <w:rFonts w:ascii="Times New Roman" w:hAnsi="Times New Roman" w:cs="Times New Roman"/>
          <w:i/>
        </w:rPr>
        <w:t xml:space="preserve"> or tempo</w:t>
      </w:r>
      <w:r w:rsidR="00152AE1" w:rsidRPr="00FF3EF3">
        <w:rPr>
          <w:rFonts w:ascii="Times New Roman" w:hAnsi="Times New Roman" w:cs="Times New Roman"/>
          <w:i/>
        </w:rPr>
        <w:t>rary Certificate of Occupa</w:t>
      </w:r>
      <w:r w:rsidRPr="00FF3EF3">
        <w:rPr>
          <w:rFonts w:ascii="Times New Roman" w:hAnsi="Times New Roman" w:cs="Times New Roman"/>
          <w:i/>
        </w:rPr>
        <w:t>n</w:t>
      </w:r>
      <w:r w:rsidR="00152AE1" w:rsidRPr="00FF3EF3">
        <w:rPr>
          <w:rFonts w:ascii="Times New Roman" w:hAnsi="Times New Roman" w:cs="Times New Roman"/>
          <w:i/>
        </w:rPr>
        <w:t>cy</w:t>
      </w:r>
      <w:r w:rsidRPr="00FF3EF3">
        <w:rPr>
          <w:rFonts w:ascii="Times New Roman" w:hAnsi="Times New Roman" w:cs="Times New Roman"/>
          <w:i/>
        </w:rPr>
        <w:t xml:space="preserve"> for the entire calendar year being benchmarked, or</w:t>
      </w:r>
    </w:p>
    <w:p w:rsidR="00081D97" w:rsidRPr="00FF3EF3" w:rsidRDefault="00081D97" w:rsidP="00FF3EF3">
      <w:pPr>
        <w:numPr>
          <w:ilvl w:val="1"/>
          <w:numId w:val="14"/>
        </w:numPr>
        <w:jc w:val="both"/>
        <w:rPr>
          <w:rFonts w:ascii="Times New Roman" w:hAnsi="Times New Roman" w:cs="Times New Roman"/>
          <w:i/>
        </w:rPr>
      </w:pPr>
      <w:r w:rsidRPr="00FF3EF3">
        <w:rPr>
          <w:rFonts w:ascii="Times New Roman" w:hAnsi="Times New Roman" w:cs="Times New Roman"/>
          <w:i/>
        </w:rPr>
        <w:t xml:space="preserve">if </w:t>
      </w:r>
      <w:r w:rsidR="007C382B" w:rsidRPr="00FF3EF3">
        <w:rPr>
          <w:rFonts w:ascii="Times New Roman" w:hAnsi="Times New Roman" w:cs="Times New Roman"/>
          <w:i/>
        </w:rPr>
        <w:t xml:space="preserve">a </w:t>
      </w:r>
      <w:r w:rsidRPr="00FF3EF3">
        <w:rPr>
          <w:rFonts w:ascii="Times New Roman" w:hAnsi="Times New Roman" w:cs="Times New Roman"/>
          <w:i/>
        </w:rPr>
        <w:t>full demolition permit has been issued, provided that demolition work has commenced, some energy-related systems have been compromised or legal occupancy is no longer possible prior to June 1, or</w:t>
      </w:r>
    </w:p>
    <w:p w:rsidR="00081D97" w:rsidRDefault="00724184" w:rsidP="00FF3EF3">
      <w:pPr>
        <w:numPr>
          <w:ilvl w:val="1"/>
          <w:numId w:val="14"/>
        </w:numPr>
        <w:jc w:val="both"/>
        <w:rPr>
          <w:rFonts w:ascii="Times New Roman" w:hAnsi="Times New Roman" w:cs="Times New Roman"/>
          <w:i/>
        </w:rPr>
      </w:pPr>
      <w:r w:rsidRPr="00FF3EF3">
        <w:rPr>
          <w:rFonts w:ascii="Times New Roman" w:hAnsi="Times New Roman" w:cs="Times New Roman"/>
          <w:i/>
        </w:rPr>
        <w:t>i</w:t>
      </w:r>
      <w:r w:rsidR="00081D97" w:rsidRPr="00FF3EF3">
        <w:rPr>
          <w:rFonts w:ascii="Times New Roman" w:hAnsi="Times New Roman" w:cs="Times New Roman"/>
          <w:i/>
        </w:rPr>
        <w:t>f more than 50% of the tenants in the covered non-city property are residential tenants and</w:t>
      </w:r>
      <w:r w:rsidR="00FB660C" w:rsidRPr="00FF3EF3">
        <w:rPr>
          <w:rFonts w:ascii="Times New Roman" w:hAnsi="Times New Roman" w:cs="Times New Roman"/>
          <w:i/>
        </w:rPr>
        <w:t>,</w:t>
      </w:r>
      <w:r w:rsidR="00081D97" w:rsidRPr="00FF3EF3">
        <w:rPr>
          <w:rFonts w:ascii="Times New Roman" w:hAnsi="Times New Roman" w:cs="Times New Roman"/>
          <w:i/>
        </w:rPr>
        <w:t xml:space="preserve"> </w:t>
      </w:r>
      <w:r w:rsidR="00FB660C" w:rsidRPr="00FF3EF3">
        <w:rPr>
          <w:rFonts w:ascii="Times New Roman" w:hAnsi="Times New Roman" w:cs="Times New Roman"/>
          <w:i/>
        </w:rPr>
        <w:br/>
        <w:t xml:space="preserve">(i) </w:t>
      </w:r>
      <w:r w:rsidR="00081D97" w:rsidRPr="00FF3EF3">
        <w:rPr>
          <w:rFonts w:ascii="Times New Roman" w:hAnsi="Times New Roman" w:cs="Times New Roman"/>
          <w:i/>
        </w:rPr>
        <w:t>the</w:t>
      </w:r>
      <w:r w:rsidR="00A86487" w:rsidRPr="00FF3EF3">
        <w:rPr>
          <w:rFonts w:ascii="Times New Roman" w:hAnsi="Times New Roman" w:cs="Times New Roman"/>
          <w:i/>
        </w:rPr>
        <w:t xml:space="preserve"> electric</w:t>
      </w:r>
      <w:r w:rsidR="00081D97" w:rsidRPr="00FF3EF3">
        <w:rPr>
          <w:rFonts w:ascii="Times New Roman" w:hAnsi="Times New Roman" w:cs="Times New Roman"/>
          <w:i/>
        </w:rPr>
        <w:t xml:space="preserve"> utility does not provide data aggregation services</w:t>
      </w:r>
      <w:r w:rsidR="00FB660C" w:rsidRPr="00FF3EF3">
        <w:rPr>
          <w:rFonts w:ascii="Times New Roman" w:hAnsi="Times New Roman" w:cs="Times New Roman"/>
          <w:i/>
        </w:rPr>
        <w:t xml:space="preserve"> or, </w:t>
      </w:r>
      <w:r w:rsidR="00FB660C" w:rsidRPr="00FF3EF3">
        <w:rPr>
          <w:rFonts w:ascii="Times New Roman" w:hAnsi="Times New Roman" w:cs="Times New Roman"/>
          <w:i/>
        </w:rPr>
        <w:br/>
        <w:t>(ii) the owner does not have access to master meters or other means</w:t>
      </w:r>
      <w:r w:rsidR="00081D97" w:rsidRPr="00FF3EF3">
        <w:rPr>
          <w:rFonts w:ascii="Times New Roman" w:hAnsi="Times New Roman" w:cs="Times New Roman"/>
          <w:i/>
        </w:rPr>
        <w:t xml:space="preserve">. </w:t>
      </w:r>
      <w:r w:rsidR="00FB660C" w:rsidRPr="00FF3EF3">
        <w:rPr>
          <w:rFonts w:ascii="Times New Roman" w:hAnsi="Times New Roman" w:cs="Times New Roman"/>
          <w:i/>
        </w:rPr>
        <w:br/>
      </w:r>
      <w:r w:rsidR="00081D97" w:rsidRPr="00FF3EF3">
        <w:rPr>
          <w:rFonts w:ascii="Times New Roman" w:hAnsi="Times New Roman" w:cs="Times New Roman"/>
          <w:i/>
        </w:rPr>
        <w:t>Once such services are available from the utility,</w:t>
      </w:r>
      <w:r w:rsidR="00FB660C" w:rsidRPr="00FF3EF3">
        <w:rPr>
          <w:rFonts w:ascii="Times New Roman" w:hAnsi="Times New Roman" w:cs="Times New Roman"/>
          <w:i/>
        </w:rPr>
        <w:t xml:space="preserve"> as determined by the </w:t>
      </w:r>
      <w:r w:rsidR="00152AE1" w:rsidRPr="00FF3EF3">
        <w:rPr>
          <w:rFonts w:ascii="Times New Roman" w:hAnsi="Times New Roman" w:cs="Times New Roman"/>
          <w:i/>
        </w:rPr>
        <w:t>Department</w:t>
      </w:r>
      <w:r w:rsidR="00FB660C" w:rsidRPr="00FF3EF3">
        <w:rPr>
          <w:rFonts w:ascii="Times New Roman" w:hAnsi="Times New Roman" w:cs="Times New Roman"/>
          <w:i/>
        </w:rPr>
        <w:t>,</w:t>
      </w:r>
      <w:r w:rsidR="00AF433B" w:rsidRPr="00FF3EF3">
        <w:rPr>
          <w:rFonts w:ascii="Times New Roman" w:hAnsi="Times New Roman" w:cs="Times New Roman"/>
          <w:i/>
        </w:rPr>
        <w:t xml:space="preserve"> </w:t>
      </w:r>
      <w:r w:rsidR="00081D97" w:rsidRPr="00FF3EF3">
        <w:rPr>
          <w:rFonts w:ascii="Times New Roman" w:hAnsi="Times New Roman" w:cs="Times New Roman"/>
          <w:i/>
        </w:rPr>
        <w:t xml:space="preserve">such buildings will no longer be exempt from benchmarking requirements, </w:t>
      </w:r>
      <w:r w:rsidR="00FB660C" w:rsidRPr="00FF3EF3">
        <w:rPr>
          <w:rFonts w:ascii="Times New Roman" w:hAnsi="Times New Roman" w:cs="Times New Roman"/>
          <w:i/>
        </w:rPr>
        <w:t>and such buildings shall file</w:t>
      </w:r>
      <w:r w:rsidR="00081D97" w:rsidRPr="00FF3EF3">
        <w:rPr>
          <w:rFonts w:ascii="Times New Roman" w:hAnsi="Times New Roman" w:cs="Times New Roman"/>
          <w:i/>
        </w:rPr>
        <w:t xml:space="preserve"> initial benchmarking reports in the year following such data availability according to the schedule established in this Section, or</w:t>
      </w:r>
    </w:p>
    <w:p w:rsidR="000D4AE5" w:rsidRPr="00C61584" w:rsidRDefault="000D4AE5" w:rsidP="000D4AE5">
      <w:pPr>
        <w:numPr>
          <w:ilvl w:val="1"/>
          <w:numId w:val="14"/>
        </w:numPr>
        <w:jc w:val="both"/>
        <w:rPr>
          <w:rFonts w:ascii="Times New Roman" w:hAnsi="Times New Roman" w:cs="Times New Roman"/>
          <w:i/>
        </w:rPr>
      </w:pPr>
      <w:r w:rsidRPr="00C61584">
        <w:rPr>
          <w:rFonts w:ascii="Times New Roman" w:hAnsi="Times New Roman" w:cs="Times New Roman"/>
          <w:i/>
        </w:rPr>
        <w:t xml:space="preserve">if more than 50% of the tenants in the covered non-city property are lodging tenants, such as hotel or motel patrons, and, </w:t>
      </w:r>
      <w:r w:rsidRPr="00C61584">
        <w:rPr>
          <w:rFonts w:ascii="Times New Roman" w:hAnsi="Times New Roman" w:cs="Times New Roman"/>
          <w:i/>
        </w:rPr>
        <w:br/>
        <w:t xml:space="preserve">(i) the electric utility does not provide data aggregation services or, </w:t>
      </w:r>
      <w:r w:rsidRPr="00C61584">
        <w:rPr>
          <w:rFonts w:ascii="Times New Roman" w:hAnsi="Times New Roman" w:cs="Times New Roman"/>
          <w:i/>
        </w:rPr>
        <w:br/>
        <w:t xml:space="preserve">(ii) the owner does not have access to master meters or other means. </w:t>
      </w:r>
      <w:r w:rsidRPr="00C61584">
        <w:rPr>
          <w:rFonts w:ascii="Times New Roman" w:hAnsi="Times New Roman" w:cs="Times New Roman"/>
          <w:i/>
        </w:rPr>
        <w:br/>
        <w:t>Once such services are available from the utility, as determined by the Department, such buildings will no longer be exempt from benchmarking requirements, and such buildings shall file initial benchmarking reports in the year following such data availability according to the schedule established in this Section, or</w:t>
      </w:r>
    </w:p>
    <w:p w:rsidR="00DF1752" w:rsidRPr="00FF3EF3" w:rsidRDefault="00DF1752" w:rsidP="00FF3EF3">
      <w:pPr>
        <w:numPr>
          <w:ilvl w:val="1"/>
          <w:numId w:val="14"/>
        </w:numPr>
        <w:jc w:val="both"/>
        <w:rPr>
          <w:rFonts w:ascii="Times New Roman" w:hAnsi="Times New Roman" w:cs="Times New Roman"/>
          <w:i/>
        </w:rPr>
      </w:pPr>
      <w:r w:rsidRPr="00FF3EF3">
        <w:rPr>
          <w:rFonts w:ascii="Times New Roman" w:hAnsi="Times New Roman" w:cs="Times New Roman"/>
          <w:i/>
        </w:rPr>
        <w:t>if the property owner is not responsible for any part of the operations, maintenance or utility costs of base building systems,</w:t>
      </w:r>
      <w:r w:rsidR="00F370AF" w:rsidRPr="00FF3EF3">
        <w:rPr>
          <w:rFonts w:ascii="Times New Roman" w:hAnsi="Times New Roman" w:cs="Times New Roman"/>
          <w:i/>
        </w:rPr>
        <w:t xml:space="preserve"> and the conditions of </w:t>
      </w:r>
      <w:r w:rsidR="00DC7531" w:rsidRPr="00FF3EF3">
        <w:rPr>
          <w:rFonts w:ascii="Times New Roman" w:hAnsi="Times New Roman" w:cs="Times New Roman"/>
          <w:i/>
        </w:rPr>
        <w:t>Section 8-2222(b)</w:t>
      </w:r>
      <w:r w:rsidR="00F370AF" w:rsidRPr="00FF3EF3">
        <w:rPr>
          <w:rFonts w:ascii="Times New Roman" w:hAnsi="Times New Roman" w:cs="Times New Roman"/>
          <w:i/>
        </w:rPr>
        <w:t xml:space="preserve">(3)(i) or </w:t>
      </w:r>
      <w:r w:rsidR="00C87B64" w:rsidRPr="00FF3EF3">
        <w:rPr>
          <w:rFonts w:ascii="Times New Roman" w:hAnsi="Times New Roman" w:cs="Times New Roman"/>
          <w:i/>
        </w:rPr>
        <w:t xml:space="preserve"> </w:t>
      </w:r>
      <w:r w:rsidR="00F370AF" w:rsidRPr="00FF3EF3">
        <w:rPr>
          <w:rFonts w:ascii="Times New Roman" w:hAnsi="Times New Roman" w:cs="Times New Roman"/>
          <w:i/>
        </w:rPr>
        <w:t>Section 8-2222(b)(3</w:t>
      </w:r>
      <w:r w:rsidR="00C87B64" w:rsidRPr="00FF3EF3">
        <w:rPr>
          <w:rFonts w:ascii="Times New Roman" w:hAnsi="Times New Roman" w:cs="Times New Roman"/>
          <w:i/>
        </w:rPr>
        <w:t>)(i</w:t>
      </w:r>
      <w:r w:rsidR="00F370AF" w:rsidRPr="00FF3EF3">
        <w:rPr>
          <w:rFonts w:ascii="Times New Roman" w:hAnsi="Times New Roman" w:cs="Times New Roman"/>
          <w:i/>
        </w:rPr>
        <w:t>i</w:t>
      </w:r>
      <w:r w:rsidR="00C87B64" w:rsidRPr="00FF3EF3">
        <w:rPr>
          <w:rFonts w:ascii="Times New Roman" w:hAnsi="Times New Roman" w:cs="Times New Roman"/>
          <w:i/>
        </w:rPr>
        <w:t>)</w:t>
      </w:r>
      <w:r w:rsidRPr="00FF3EF3">
        <w:rPr>
          <w:rFonts w:ascii="Times New Roman" w:hAnsi="Times New Roman" w:cs="Times New Roman"/>
          <w:i/>
        </w:rPr>
        <w:t xml:space="preserve"> </w:t>
      </w:r>
      <w:r w:rsidR="00C87B64" w:rsidRPr="00FF3EF3">
        <w:rPr>
          <w:rFonts w:ascii="Times New Roman" w:hAnsi="Times New Roman" w:cs="Times New Roman"/>
          <w:i/>
        </w:rPr>
        <w:t>are applicable, or</w:t>
      </w:r>
    </w:p>
    <w:p w:rsidR="00081D97" w:rsidRPr="00FF3EF3" w:rsidRDefault="00FB660C" w:rsidP="00FF3EF3">
      <w:pPr>
        <w:numPr>
          <w:ilvl w:val="1"/>
          <w:numId w:val="14"/>
        </w:numPr>
        <w:jc w:val="both"/>
        <w:rPr>
          <w:rFonts w:ascii="Times New Roman" w:hAnsi="Times New Roman" w:cs="Times New Roman"/>
          <w:i/>
        </w:rPr>
      </w:pPr>
      <w:r w:rsidRPr="00FF3EF3">
        <w:rPr>
          <w:rFonts w:ascii="Times New Roman" w:hAnsi="Times New Roman" w:cs="Times New Roman"/>
          <w:i/>
        </w:rPr>
        <w:t>if the property</w:t>
      </w:r>
      <w:r w:rsidR="00081D97" w:rsidRPr="00FF3EF3">
        <w:rPr>
          <w:rFonts w:ascii="Times New Roman" w:hAnsi="Times New Roman" w:cs="Times New Roman"/>
          <w:i/>
        </w:rPr>
        <w:t xml:space="preserve"> qualifi</w:t>
      </w:r>
      <w:r w:rsidR="00325283" w:rsidRPr="00FF3EF3">
        <w:rPr>
          <w:rFonts w:ascii="Times New Roman" w:hAnsi="Times New Roman" w:cs="Times New Roman"/>
          <w:i/>
        </w:rPr>
        <w:t>es as under financial hardship, or</w:t>
      </w:r>
    </w:p>
    <w:p w:rsidR="00325283" w:rsidRDefault="00325283" w:rsidP="00FF3EF3">
      <w:pPr>
        <w:numPr>
          <w:ilvl w:val="1"/>
          <w:numId w:val="14"/>
        </w:numPr>
        <w:jc w:val="both"/>
        <w:rPr>
          <w:rFonts w:ascii="Times New Roman" w:hAnsi="Times New Roman" w:cs="Times New Roman"/>
          <w:i/>
        </w:rPr>
      </w:pPr>
      <w:r w:rsidRPr="00FF3EF3">
        <w:rPr>
          <w:rFonts w:ascii="Times New Roman" w:hAnsi="Times New Roman" w:cs="Times New Roman"/>
          <w:i/>
        </w:rPr>
        <w:t>if the property does not receive utility services.</w:t>
      </w:r>
    </w:p>
    <w:p w:rsidR="00081D97" w:rsidRPr="000D4AE5" w:rsidRDefault="00081D97" w:rsidP="00992B24">
      <w:pPr>
        <w:ind w:left="1080"/>
        <w:jc w:val="both"/>
        <w:rPr>
          <w:rFonts w:ascii="Times New Roman" w:hAnsi="Times New Roman" w:cs="Times New Roman"/>
          <w:i/>
        </w:rPr>
      </w:pPr>
    </w:p>
    <w:p w:rsidR="0040561F" w:rsidRPr="00FF3EF3" w:rsidRDefault="00081D97" w:rsidP="00FF3EF3">
      <w:pPr>
        <w:numPr>
          <w:ilvl w:val="0"/>
          <w:numId w:val="6"/>
        </w:numPr>
        <w:jc w:val="both"/>
        <w:rPr>
          <w:rFonts w:ascii="Times New Roman" w:hAnsi="Times New Roman" w:cs="Times New Roman"/>
          <w:bCs/>
          <w:i/>
        </w:rPr>
      </w:pPr>
      <w:r w:rsidRPr="00FF3EF3">
        <w:rPr>
          <w:rFonts w:ascii="Times New Roman" w:hAnsi="Times New Roman" w:cs="Times New Roman"/>
          <w:bCs/>
          <w:i/>
        </w:rPr>
        <w:t xml:space="preserve">The owner shall annually provide a benchmarking submission for each covered </w:t>
      </w:r>
      <w:r w:rsidR="00867963" w:rsidRPr="00FF3EF3">
        <w:rPr>
          <w:rFonts w:ascii="Times New Roman" w:hAnsi="Times New Roman" w:cs="Times New Roman"/>
          <w:bCs/>
          <w:i/>
        </w:rPr>
        <w:t xml:space="preserve">property to the </w:t>
      </w:r>
      <w:r w:rsidR="00152AE1" w:rsidRPr="00FF3EF3">
        <w:rPr>
          <w:rFonts w:ascii="Times New Roman" w:hAnsi="Times New Roman" w:cs="Times New Roman"/>
          <w:bCs/>
          <w:i/>
        </w:rPr>
        <w:t>Department</w:t>
      </w:r>
      <w:r w:rsidR="00867963" w:rsidRPr="00FF3EF3">
        <w:rPr>
          <w:rFonts w:ascii="Times New Roman" w:hAnsi="Times New Roman" w:cs="Times New Roman"/>
          <w:bCs/>
          <w:i/>
        </w:rPr>
        <w:t>, in the</w:t>
      </w:r>
      <w:r w:rsidRPr="00FF3EF3">
        <w:rPr>
          <w:rFonts w:ascii="Times New Roman" w:hAnsi="Times New Roman" w:cs="Times New Roman"/>
          <w:bCs/>
          <w:i/>
        </w:rPr>
        <w:t xml:space="preserve"> electronic form of a Portfolio Manager </w:t>
      </w:r>
      <w:r w:rsidR="00867963" w:rsidRPr="00FF3EF3">
        <w:rPr>
          <w:rFonts w:ascii="Times New Roman" w:hAnsi="Times New Roman" w:cs="Times New Roman"/>
          <w:bCs/>
          <w:i/>
        </w:rPr>
        <w:t>Data Request</w:t>
      </w:r>
      <w:r w:rsidRPr="00FF3EF3">
        <w:rPr>
          <w:rFonts w:ascii="Times New Roman" w:hAnsi="Times New Roman" w:cs="Times New Roman"/>
          <w:bCs/>
          <w:i/>
        </w:rPr>
        <w:t xml:space="preserve"> Report with information and metrics included as established by the </w:t>
      </w:r>
      <w:r w:rsidR="00E36F46" w:rsidRPr="00FF3EF3">
        <w:rPr>
          <w:rFonts w:ascii="Times New Roman" w:hAnsi="Times New Roman" w:cs="Times New Roman"/>
          <w:bCs/>
          <w:i/>
        </w:rPr>
        <w:t>Department’s</w:t>
      </w:r>
      <w:r w:rsidRPr="00FF3EF3">
        <w:rPr>
          <w:rFonts w:ascii="Times New Roman" w:hAnsi="Times New Roman" w:cs="Times New Roman"/>
          <w:bCs/>
          <w:i/>
        </w:rPr>
        <w:t xml:space="preserve"> rule, by t</w:t>
      </w:r>
      <w:r w:rsidR="00F370AF" w:rsidRPr="00FF3EF3">
        <w:rPr>
          <w:rFonts w:ascii="Times New Roman" w:hAnsi="Times New Roman" w:cs="Times New Roman"/>
          <w:bCs/>
          <w:i/>
        </w:rPr>
        <w:t>he date specified in Sections 8-2222(a) and (b</w:t>
      </w:r>
      <w:r w:rsidR="00A70FD6" w:rsidRPr="00FF3EF3">
        <w:rPr>
          <w:rFonts w:ascii="Times New Roman" w:hAnsi="Times New Roman" w:cs="Times New Roman"/>
          <w:bCs/>
          <w:i/>
        </w:rPr>
        <w:t>).</w:t>
      </w:r>
    </w:p>
    <w:p w:rsidR="002F5320" w:rsidRPr="00FF3EF3" w:rsidRDefault="002F5320" w:rsidP="00FF3EF3">
      <w:pPr>
        <w:jc w:val="both"/>
        <w:rPr>
          <w:rFonts w:ascii="Times New Roman" w:hAnsi="Times New Roman" w:cs="Times New Roman"/>
          <w:bCs/>
          <w:i/>
        </w:rPr>
      </w:pPr>
    </w:p>
    <w:p w:rsidR="0040561F" w:rsidRPr="00FF3EF3" w:rsidRDefault="002F5320" w:rsidP="00FF3EF3">
      <w:pPr>
        <w:numPr>
          <w:ilvl w:val="0"/>
          <w:numId w:val="6"/>
        </w:numPr>
        <w:jc w:val="both"/>
        <w:rPr>
          <w:rFonts w:ascii="Times New Roman" w:hAnsi="Times New Roman" w:cs="Times New Roman"/>
          <w:bCs/>
          <w:i/>
        </w:rPr>
      </w:pPr>
      <w:r w:rsidRPr="00FF3EF3">
        <w:rPr>
          <w:rFonts w:ascii="Times New Roman" w:hAnsi="Times New Roman" w:cs="Times New Roman"/>
          <w:bCs/>
          <w:i/>
        </w:rPr>
        <w:t>The Department will make educational materials publicly available, which may include but are not limited to, how-to guides, public seminars, and 3</w:t>
      </w:r>
      <w:r w:rsidRPr="00FF3EF3">
        <w:rPr>
          <w:rFonts w:ascii="Times New Roman" w:hAnsi="Times New Roman" w:cs="Times New Roman"/>
          <w:bCs/>
          <w:i/>
          <w:vertAlign w:val="superscript"/>
        </w:rPr>
        <w:t>rd</w:t>
      </w:r>
      <w:r w:rsidRPr="00FF3EF3">
        <w:rPr>
          <w:rFonts w:ascii="Times New Roman" w:hAnsi="Times New Roman" w:cs="Times New Roman"/>
          <w:bCs/>
          <w:i/>
        </w:rPr>
        <w:t xml:space="preserve"> party assistance.</w:t>
      </w:r>
    </w:p>
    <w:p w:rsidR="008D6452" w:rsidRPr="00FF3EF3" w:rsidRDefault="008D6452" w:rsidP="00FF3EF3">
      <w:pPr>
        <w:jc w:val="both"/>
        <w:rPr>
          <w:rFonts w:ascii="Times New Roman" w:hAnsi="Times New Roman" w:cs="Times New Roman"/>
        </w:rPr>
      </w:pPr>
    </w:p>
    <w:p w:rsidR="004E07FB" w:rsidRPr="00FF3EF3" w:rsidRDefault="004E07FB" w:rsidP="00FF3EF3">
      <w:pPr>
        <w:jc w:val="both"/>
        <w:rPr>
          <w:rFonts w:ascii="Times New Roman" w:hAnsi="Times New Roman" w:cs="Times New Roman"/>
          <w:i/>
        </w:rPr>
      </w:pPr>
      <w:r w:rsidRPr="00FF3EF3">
        <w:rPr>
          <w:rFonts w:ascii="Times New Roman" w:hAnsi="Times New Roman" w:cs="Times New Roman"/>
          <w:i/>
        </w:rPr>
        <w:t>Section 8-2223. – Benchmarking Data Collection</w:t>
      </w:r>
      <w:r w:rsidR="0054050F" w:rsidRPr="00FF3EF3">
        <w:rPr>
          <w:rFonts w:ascii="Times New Roman" w:hAnsi="Times New Roman" w:cs="Times New Roman"/>
          <w:i/>
        </w:rPr>
        <w:t>.</w:t>
      </w:r>
    </w:p>
    <w:p w:rsidR="00081D97" w:rsidRPr="00FF3EF3" w:rsidRDefault="00081D97" w:rsidP="00FF3EF3">
      <w:pPr>
        <w:jc w:val="both"/>
        <w:rPr>
          <w:rFonts w:ascii="Times New Roman" w:hAnsi="Times New Roman" w:cs="Times New Roman"/>
          <w:b/>
        </w:rPr>
      </w:pPr>
    </w:p>
    <w:p w:rsidR="00081D97" w:rsidRPr="00FF3EF3" w:rsidRDefault="00081D97" w:rsidP="00FF3EF3">
      <w:pPr>
        <w:numPr>
          <w:ilvl w:val="0"/>
          <w:numId w:val="7"/>
        </w:numPr>
        <w:jc w:val="both"/>
        <w:rPr>
          <w:rFonts w:ascii="Times New Roman" w:hAnsi="Times New Roman" w:cs="Times New Roman"/>
          <w:bCs/>
          <w:i/>
        </w:rPr>
      </w:pPr>
      <w:r w:rsidRPr="00FF3EF3">
        <w:rPr>
          <w:rFonts w:ascii="Times New Roman" w:hAnsi="Times New Roman" w:cs="Times New Roman"/>
          <w:bCs/>
          <w:i/>
        </w:rPr>
        <w:t>A</w:t>
      </w:r>
      <w:r w:rsidR="00DF1752" w:rsidRPr="00FF3EF3">
        <w:rPr>
          <w:rFonts w:ascii="Times New Roman" w:hAnsi="Times New Roman" w:cs="Times New Roman"/>
          <w:bCs/>
          <w:i/>
        </w:rPr>
        <w:t>n</w:t>
      </w:r>
      <w:r w:rsidRPr="00FF3EF3">
        <w:rPr>
          <w:rFonts w:ascii="Times New Roman" w:hAnsi="Times New Roman" w:cs="Times New Roman"/>
          <w:bCs/>
          <w:i/>
        </w:rPr>
        <w:t xml:space="preserve"> owner shall enter data into the Benchmarking Tool in accordance with the following:</w:t>
      </w:r>
    </w:p>
    <w:p w:rsidR="00081D97" w:rsidRPr="00FF3EF3" w:rsidRDefault="00081D97" w:rsidP="00FF3EF3">
      <w:pPr>
        <w:numPr>
          <w:ilvl w:val="1"/>
          <w:numId w:val="7"/>
        </w:numPr>
        <w:jc w:val="both"/>
        <w:rPr>
          <w:rFonts w:ascii="Times New Roman" w:hAnsi="Times New Roman" w:cs="Times New Roman"/>
          <w:bCs/>
          <w:i/>
        </w:rPr>
      </w:pPr>
      <w:r w:rsidRPr="00FF3EF3">
        <w:rPr>
          <w:rFonts w:ascii="Times New Roman" w:hAnsi="Times New Roman" w:cs="Times New Roman"/>
          <w:i/>
        </w:rPr>
        <w:t>Whenever possible, owners should benchmark their building(s) using whole-</w:t>
      </w:r>
      <w:r w:rsidR="00DF1752" w:rsidRPr="00FF3EF3">
        <w:rPr>
          <w:rFonts w:ascii="Times New Roman" w:hAnsi="Times New Roman" w:cs="Times New Roman"/>
          <w:i/>
        </w:rPr>
        <w:t>property</w:t>
      </w:r>
      <w:r w:rsidRPr="00FF3EF3">
        <w:rPr>
          <w:rFonts w:ascii="Times New Roman" w:hAnsi="Times New Roman" w:cs="Times New Roman"/>
          <w:i/>
        </w:rPr>
        <w:t xml:space="preserve"> utility data:</w:t>
      </w:r>
    </w:p>
    <w:p w:rsidR="00081D97" w:rsidRPr="00FF3EF3" w:rsidRDefault="00081D97" w:rsidP="00FF3EF3">
      <w:pPr>
        <w:numPr>
          <w:ilvl w:val="2"/>
          <w:numId w:val="7"/>
        </w:numPr>
        <w:jc w:val="both"/>
        <w:rPr>
          <w:rFonts w:ascii="Times New Roman" w:hAnsi="Times New Roman" w:cs="Times New Roman"/>
          <w:bCs/>
          <w:i/>
        </w:rPr>
      </w:pPr>
      <w:r w:rsidRPr="00FF3EF3">
        <w:rPr>
          <w:rFonts w:ascii="Times New Roman" w:hAnsi="Times New Roman" w:cs="Times New Roman"/>
          <w:i/>
        </w:rPr>
        <w:t>Whole-</w:t>
      </w:r>
      <w:r w:rsidR="00DF1752" w:rsidRPr="00FF3EF3">
        <w:rPr>
          <w:rFonts w:ascii="Times New Roman" w:hAnsi="Times New Roman" w:cs="Times New Roman"/>
          <w:i/>
        </w:rPr>
        <w:t>property</w:t>
      </w:r>
      <w:r w:rsidRPr="00FF3EF3">
        <w:rPr>
          <w:rFonts w:ascii="Times New Roman" w:hAnsi="Times New Roman" w:cs="Times New Roman"/>
          <w:i/>
        </w:rPr>
        <w:t xml:space="preserve"> utility data can be obtained by receiving data from all tenants, from master meters, or from a utility company; or</w:t>
      </w:r>
    </w:p>
    <w:p w:rsidR="00081D97" w:rsidRPr="00FF3EF3" w:rsidRDefault="00081D97" w:rsidP="00FF3EF3">
      <w:pPr>
        <w:numPr>
          <w:ilvl w:val="2"/>
          <w:numId w:val="7"/>
        </w:numPr>
        <w:jc w:val="both"/>
        <w:rPr>
          <w:rFonts w:ascii="Times New Roman" w:hAnsi="Times New Roman" w:cs="Times New Roman"/>
          <w:bCs/>
          <w:i/>
        </w:rPr>
      </w:pPr>
      <w:r w:rsidRPr="00FF3EF3">
        <w:rPr>
          <w:rFonts w:ascii="Times New Roman" w:hAnsi="Times New Roman" w:cs="Times New Roman"/>
          <w:i/>
        </w:rPr>
        <w:t>If a utility company has made aggregated utility data available to owners prior to two months before the reporting date of that calendar year, then a</w:t>
      </w:r>
      <w:r w:rsidR="00DF1752" w:rsidRPr="00FF3EF3">
        <w:rPr>
          <w:rFonts w:ascii="Times New Roman" w:hAnsi="Times New Roman" w:cs="Times New Roman"/>
          <w:i/>
        </w:rPr>
        <w:t>n</w:t>
      </w:r>
      <w:r w:rsidRPr="00FF3EF3">
        <w:rPr>
          <w:rFonts w:ascii="Times New Roman" w:hAnsi="Times New Roman" w:cs="Times New Roman"/>
          <w:i/>
        </w:rPr>
        <w:t xml:space="preserve"> owner must benchmark using whole-</w:t>
      </w:r>
      <w:r w:rsidR="00DF1752" w:rsidRPr="00FF3EF3">
        <w:rPr>
          <w:rFonts w:ascii="Times New Roman" w:hAnsi="Times New Roman" w:cs="Times New Roman"/>
          <w:i/>
        </w:rPr>
        <w:t>property</w:t>
      </w:r>
      <w:r w:rsidRPr="00FF3EF3">
        <w:rPr>
          <w:rFonts w:ascii="Times New Roman" w:hAnsi="Times New Roman" w:cs="Times New Roman"/>
          <w:i/>
        </w:rPr>
        <w:t xml:space="preserve"> utility data for that utility.</w:t>
      </w:r>
    </w:p>
    <w:p w:rsidR="00081D97" w:rsidRPr="00FF3EF3" w:rsidRDefault="00081D97" w:rsidP="00FF3EF3">
      <w:pPr>
        <w:numPr>
          <w:ilvl w:val="1"/>
          <w:numId w:val="7"/>
        </w:numPr>
        <w:jc w:val="both"/>
        <w:rPr>
          <w:rFonts w:ascii="Times New Roman" w:hAnsi="Times New Roman" w:cs="Times New Roman"/>
          <w:bCs/>
          <w:i/>
        </w:rPr>
      </w:pPr>
      <w:r w:rsidRPr="00FF3EF3">
        <w:rPr>
          <w:rFonts w:ascii="Times New Roman" w:hAnsi="Times New Roman" w:cs="Times New Roman"/>
          <w:i/>
        </w:rPr>
        <w:t>When a</w:t>
      </w:r>
      <w:r w:rsidR="00DF1752" w:rsidRPr="00FF3EF3">
        <w:rPr>
          <w:rFonts w:ascii="Times New Roman" w:hAnsi="Times New Roman" w:cs="Times New Roman"/>
          <w:i/>
        </w:rPr>
        <w:t>n</w:t>
      </w:r>
      <w:r w:rsidRPr="00FF3EF3">
        <w:rPr>
          <w:rFonts w:ascii="Times New Roman" w:hAnsi="Times New Roman" w:cs="Times New Roman"/>
          <w:i/>
        </w:rPr>
        <w:t xml:space="preserve"> owner does not have whole-</w:t>
      </w:r>
      <w:r w:rsidR="00DF1752" w:rsidRPr="00FF3EF3">
        <w:rPr>
          <w:rFonts w:ascii="Times New Roman" w:hAnsi="Times New Roman" w:cs="Times New Roman"/>
          <w:i/>
        </w:rPr>
        <w:t>property</w:t>
      </w:r>
      <w:r w:rsidRPr="00FF3EF3">
        <w:rPr>
          <w:rFonts w:ascii="Times New Roman" w:hAnsi="Times New Roman" w:cs="Times New Roman"/>
          <w:i/>
        </w:rPr>
        <w:t xml:space="preserve"> information sufficient to fulfill these requirements and has made a reasonable effort to obtain from a tenant the information required, but that information has not been received from that tenant, the owner shall not be relieved of their benchmarking obligations, and must complete benchmarking using such alternate values as established by the </w:t>
      </w:r>
      <w:r w:rsidR="00250CFC" w:rsidRPr="00FF3EF3">
        <w:rPr>
          <w:rFonts w:ascii="Times New Roman" w:hAnsi="Times New Roman" w:cs="Times New Roman"/>
          <w:i/>
        </w:rPr>
        <w:t>Department</w:t>
      </w:r>
      <w:r w:rsidRPr="00FF3EF3">
        <w:rPr>
          <w:rFonts w:ascii="Times New Roman" w:hAnsi="Times New Roman" w:cs="Times New Roman"/>
          <w:i/>
        </w:rPr>
        <w:t xml:space="preserve">. The </w:t>
      </w:r>
      <w:r w:rsidR="00250CFC" w:rsidRPr="00FF3EF3">
        <w:rPr>
          <w:rFonts w:ascii="Times New Roman" w:hAnsi="Times New Roman" w:cs="Times New Roman"/>
          <w:i/>
        </w:rPr>
        <w:t>Department</w:t>
      </w:r>
      <w:r w:rsidRPr="00FF3EF3">
        <w:rPr>
          <w:rFonts w:ascii="Times New Roman" w:hAnsi="Times New Roman" w:cs="Times New Roman"/>
          <w:i/>
        </w:rPr>
        <w:t xml:space="preserve"> shall evaluate the quality of any alternate values and propose options that increase the quality of such values prior to Dec. 31, 2015, and not less than once every 10 years thereafter.</w:t>
      </w:r>
    </w:p>
    <w:p w:rsidR="008D6452" w:rsidRPr="00FF3EF3" w:rsidRDefault="008D6452" w:rsidP="00FF3EF3">
      <w:pPr>
        <w:jc w:val="both"/>
        <w:rPr>
          <w:rFonts w:ascii="Times New Roman" w:hAnsi="Times New Roman" w:cs="Times New Roman"/>
        </w:rPr>
      </w:pPr>
    </w:p>
    <w:p w:rsidR="00081D97" w:rsidRPr="00FF3EF3" w:rsidRDefault="0054050F" w:rsidP="00FF3EF3">
      <w:pPr>
        <w:jc w:val="both"/>
        <w:rPr>
          <w:rFonts w:ascii="Times New Roman" w:hAnsi="Times New Roman" w:cs="Times New Roman"/>
          <w:b/>
        </w:rPr>
      </w:pPr>
      <w:r w:rsidRPr="00FF3EF3">
        <w:rPr>
          <w:rFonts w:ascii="Times New Roman" w:hAnsi="Times New Roman" w:cs="Times New Roman"/>
          <w:i/>
        </w:rPr>
        <w:t>Section 8-2224. – Notification of Requirement to Benchmark.</w:t>
      </w:r>
    </w:p>
    <w:p w:rsidR="00081D97" w:rsidRPr="00FF3EF3" w:rsidRDefault="00081D97" w:rsidP="00FF3EF3">
      <w:pPr>
        <w:jc w:val="both"/>
        <w:rPr>
          <w:rFonts w:ascii="Times New Roman" w:hAnsi="Times New Roman" w:cs="Times New Roman"/>
          <w:b/>
        </w:rPr>
      </w:pPr>
    </w:p>
    <w:p w:rsidR="00081D97" w:rsidRPr="00FF3EF3" w:rsidRDefault="00081D97" w:rsidP="00FF3EF3">
      <w:pPr>
        <w:numPr>
          <w:ilvl w:val="0"/>
          <w:numId w:val="26"/>
        </w:numPr>
        <w:jc w:val="both"/>
        <w:rPr>
          <w:rFonts w:ascii="Times New Roman" w:hAnsi="Times New Roman" w:cs="Times New Roman"/>
          <w:bCs/>
          <w:i/>
        </w:rPr>
      </w:pPr>
      <w:r w:rsidRPr="00FF3EF3">
        <w:rPr>
          <w:rFonts w:ascii="Times New Roman" w:hAnsi="Times New Roman" w:cs="Times New Roman"/>
          <w:bCs/>
          <w:i/>
        </w:rPr>
        <w:t>Between January 1 an</w:t>
      </w:r>
      <w:r w:rsidR="00712F64" w:rsidRPr="00FF3EF3">
        <w:rPr>
          <w:rFonts w:ascii="Times New Roman" w:hAnsi="Times New Roman" w:cs="Times New Roman"/>
          <w:bCs/>
          <w:i/>
        </w:rPr>
        <w:t xml:space="preserve">d </w:t>
      </w:r>
      <w:r w:rsidR="00C20C0C" w:rsidRPr="00FF3EF3">
        <w:rPr>
          <w:rFonts w:ascii="Times New Roman" w:hAnsi="Times New Roman" w:cs="Times New Roman"/>
          <w:bCs/>
          <w:i/>
        </w:rPr>
        <w:t>April</w:t>
      </w:r>
      <w:r w:rsidR="0049392A" w:rsidRPr="00FF3EF3">
        <w:rPr>
          <w:rFonts w:ascii="Times New Roman" w:hAnsi="Times New Roman" w:cs="Times New Roman"/>
          <w:bCs/>
          <w:i/>
        </w:rPr>
        <w:t xml:space="preserve"> 3</w:t>
      </w:r>
      <w:r w:rsidR="00C20C0C" w:rsidRPr="00FF3EF3">
        <w:rPr>
          <w:rFonts w:ascii="Times New Roman" w:hAnsi="Times New Roman" w:cs="Times New Roman"/>
          <w:bCs/>
          <w:i/>
        </w:rPr>
        <w:t>0</w:t>
      </w:r>
      <w:r w:rsidRPr="00FF3EF3">
        <w:rPr>
          <w:rFonts w:ascii="Times New Roman" w:hAnsi="Times New Roman" w:cs="Times New Roman"/>
          <w:bCs/>
          <w:i/>
        </w:rPr>
        <w:t xml:space="preserve"> of each year that benchmarking requirements are in effect, the </w:t>
      </w:r>
      <w:r w:rsidR="00942CB4" w:rsidRPr="00FF3EF3">
        <w:rPr>
          <w:rFonts w:ascii="Times New Roman" w:hAnsi="Times New Roman" w:cs="Times New Roman"/>
          <w:bCs/>
          <w:i/>
        </w:rPr>
        <w:t>Department</w:t>
      </w:r>
      <w:r w:rsidRPr="00FF3EF3">
        <w:rPr>
          <w:rFonts w:ascii="Times New Roman" w:hAnsi="Times New Roman" w:cs="Times New Roman"/>
          <w:bCs/>
          <w:i/>
        </w:rPr>
        <w:t xml:space="preserve"> shall notify owners of their obligation to benchmark for the previous calendar year, provided that the failure of the </w:t>
      </w:r>
      <w:r w:rsidR="00942CB4" w:rsidRPr="00FF3EF3">
        <w:rPr>
          <w:rFonts w:ascii="Times New Roman" w:hAnsi="Times New Roman" w:cs="Times New Roman"/>
          <w:bCs/>
          <w:i/>
        </w:rPr>
        <w:t>Department</w:t>
      </w:r>
      <w:r w:rsidRPr="00FF3EF3">
        <w:rPr>
          <w:rFonts w:ascii="Times New Roman" w:hAnsi="Times New Roman" w:cs="Times New Roman"/>
          <w:bCs/>
          <w:i/>
        </w:rPr>
        <w:t xml:space="preserve"> to notify any such owner shall not affect the obligation of such owner to benchmark.</w:t>
      </w:r>
    </w:p>
    <w:p w:rsidR="00081D97" w:rsidRPr="00FF3EF3" w:rsidRDefault="00081D97" w:rsidP="00FF3EF3">
      <w:pPr>
        <w:ind w:left="720"/>
        <w:jc w:val="both"/>
        <w:rPr>
          <w:rFonts w:ascii="Times New Roman" w:hAnsi="Times New Roman" w:cs="Times New Roman"/>
          <w:bCs/>
          <w:i/>
        </w:rPr>
      </w:pPr>
    </w:p>
    <w:p w:rsidR="00081D97" w:rsidRPr="00FF3EF3" w:rsidRDefault="00081D97" w:rsidP="00FF3EF3">
      <w:pPr>
        <w:numPr>
          <w:ilvl w:val="0"/>
          <w:numId w:val="26"/>
        </w:numPr>
        <w:jc w:val="both"/>
        <w:rPr>
          <w:rFonts w:ascii="Times New Roman" w:hAnsi="Times New Roman" w:cs="Times New Roman"/>
          <w:bCs/>
          <w:i/>
        </w:rPr>
      </w:pPr>
      <w:r w:rsidRPr="00FF3EF3">
        <w:rPr>
          <w:rFonts w:ascii="Times New Roman" w:hAnsi="Times New Roman" w:cs="Times New Roman"/>
          <w:i/>
        </w:rPr>
        <w:t xml:space="preserve">By December 31 of each year that benchmarking requirements are in effect, the </w:t>
      </w:r>
      <w:r w:rsidR="00942CB4" w:rsidRPr="00FF3EF3">
        <w:rPr>
          <w:rFonts w:ascii="Times New Roman" w:hAnsi="Times New Roman" w:cs="Times New Roman"/>
          <w:i/>
        </w:rPr>
        <w:t>Department</w:t>
      </w:r>
      <w:r w:rsidRPr="00FF3EF3">
        <w:rPr>
          <w:rFonts w:ascii="Times New Roman" w:hAnsi="Times New Roman" w:cs="Times New Roman"/>
          <w:i/>
        </w:rPr>
        <w:t xml:space="preserve"> shall publicly post on the internet a</w:t>
      </w:r>
      <w:r w:rsidR="00942CB4" w:rsidRPr="00FF3EF3">
        <w:rPr>
          <w:rFonts w:ascii="Times New Roman" w:hAnsi="Times New Roman" w:cs="Times New Roman"/>
          <w:i/>
        </w:rPr>
        <w:t xml:space="preserve"> list of all covered </w:t>
      </w:r>
      <w:r w:rsidRPr="00FF3EF3">
        <w:rPr>
          <w:rFonts w:ascii="Times New Roman" w:hAnsi="Times New Roman" w:cs="Times New Roman"/>
          <w:i/>
        </w:rPr>
        <w:t xml:space="preserve">properties that must provide a benchmarking submission to the </w:t>
      </w:r>
      <w:r w:rsidR="00942CB4" w:rsidRPr="00FF3EF3">
        <w:rPr>
          <w:rFonts w:ascii="Times New Roman" w:hAnsi="Times New Roman" w:cs="Times New Roman"/>
          <w:i/>
        </w:rPr>
        <w:t>Department</w:t>
      </w:r>
      <w:r w:rsidRPr="00FF3EF3">
        <w:rPr>
          <w:rFonts w:ascii="Times New Roman" w:hAnsi="Times New Roman" w:cs="Times New Roman"/>
          <w:i/>
        </w:rPr>
        <w:t xml:space="preserve"> during the following year.</w:t>
      </w:r>
    </w:p>
    <w:p w:rsidR="00C3530F" w:rsidRPr="00FF3EF3" w:rsidRDefault="00C3530F" w:rsidP="00FF3EF3">
      <w:pPr>
        <w:jc w:val="both"/>
        <w:rPr>
          <w:rFonts w:ascii="Times New Roman" w:hAnsi="Times New Roman" w:cs="Times New Roman"/>
        </w:rPr>
      </w:pPr>
    </w:p>
    <w:p w:rsidR="00081D97" w:rsidRPr="00FF3EF3" w:rsidRDefault="0054050F" w:rsidP="00FF3EF3">
      <w:pPr>
        <w:jc w:val="both"/>
        <w:rPr>
          <w:rFonts w:ascii="Times New Roman" w:hAnsi="Times New Roman" w:cs="Times New Roman"/>
          <w:b/>
        </w:rPr>
      </w:pPr>
      <w:r w:rsidRPr="00FF3EF3">
        <w:rPr>
          <w:rFonts w:ascii="Times New Roman" w:hAnsi="Times New Roman" w:cs="Times New Roman"/>
          <w:i/>
        </w:rPr>
        <w:t>Section 8-2225. – Provision of Benchmarking Information to the Property Owner.</w:t>
      </w:r>
    </w:p>
    <w:p w:rsidR="00081D97" w:rsidRPr="00FF3EF3" w:rsidRDefault="00081D97" w:rsidP="00FF3EF3">
      <w:pPr>
        <w:jc w:val="both"/>
        <w:rPr>
          <w:rFonts w:ascii="Times New Roman" w:hAnsi="Times New Roman" w:cs="Times New Roman"/>
          <w:b/>
        </w:rPr>
      </w:pPr>
    </w:p>
    <w:p w:rsidR="00081D97" w:rsidRPr="00FF3EF3" w:rsidRDefault="00081D97" w:rsidP="00FF3EF3">
      <w:pPr>
        <w:numPr>
          <w:ilvl w:val="0"/>
          <w:numId w:val="27"/>
        </w:numPr>
        <w:jc w:val="both"/>
        <w:rPr>
          <w:rFonts w:ascii="Times New Roman" w:hAnsi="Times New Roman" w:cs="Times New Roman"/>
          <w:bCs/>
          <w:i/>
        </w:rPr>
      </w:pPr>
      <w:r w:rsidRPr="00FF3EF3">
        <w:rPr>
          <w:rFonts w:ascii="Times New Roman" w:hAnsi="Times New Roman" w:cs="Times New Roman"/>
          <w:bCs/>
          <w:i/>
        </w:rPr>
        <w:lastRenderedPageBreak/>
        <w:t>Each nonresidential tenant located in a covered property shall,</w:t>
      </w:r>
      <w:r w:rsidR="00250CFC" w:rsidRPr="00FF3EF3">
        <w:rPr>
          <w:rFonts w:ascii="Times New Roman" w:hAnsi="Times New Roman" w:cs="Times New Roman"/>
          <w:bCs/>
          <w:i/>
        </w:rPr>
        <w:t xml:space="preserve"> to the best of their ability,</w:t>
      </w:r>
      <w:r w:rsidRPr="00FF3EF3">
        <w:rPr>
          <w:rFonts w:ascii="Times New Roman" w:hAnsi="Times New Roman" w:cs="Times New Roman"/>
          <w:bCs/>
          <w:i/>
        </w:rPr>
        <w:t xml:space="preserve"> within 30 days of a request by the owner and in a form to be determined by the </w:t>
      </w:r>
      <w:r w:rsidR="00942CB4" w:rsidRPr="00FF3EF3">
        <w:rPr>
          <w:rFonts w:ascii="Times New Roman" w:hAnsi="Times New Roman" w:cs="Times New Roman"/>
          <w:bCs/>
          <w:i/>
        </w:rPr>
        <w:t>Department</w:t>
      </w:r>
      <w:r w:rsidRPr="00FF3EF3">
        <w:rPr>
          <w:rFonts w:ascii="Times New Roman" w:hAnsi="Times New Roman" w:cs="Times New Roman"/>
          <w:bCs/>
          <w:i/>
        </w:rPr>
        <w:t>, provide all information that cannot otherwise be acquired by the owner and that is needed by the owner to comply with the requirements of this ordinance.</w:t>
      </w:r>
    </w:p>
    <w:p w:rsidR="003B7220" w:rsidRPr="00FF3EF3" w:rsidRDefault="003B7220" w:rsidP="00FF3EF3">
      <w:pPr>
        <w:jc w:val="both"/>
        <w:rPr>
          <w:rFonts w:ascii="Times New Roman" w:hAnsi="Times New Roman" w:cs="Times New Roman"/>
          <w:bCs/>
          <w:i/>
        </w:rPr>
      </w:pPr>
    </w:p>
    <w:p w:rsidR="00081D97" w:rsidRPr="00FF3EF3" w:rsidRDefault="00081D97" w:rsidP="00FF3EF3">
      <w:pPr>
        <w:numPr>
          <w:ilvl w:val="0"/>
          <w:numId w:val="27"/>
        </w:numPr>
        <w:jc w:val="both"/>
        <w:rPr>
          <w:rFonts w:ascii="Times New Roman" w:hAnsi="Times New Roman" w:cs="Times New Roman"/>
          <w:bCs/>
          <w:i/>
        </w:rPr>
      </w:pPr>
      <w:r w:rsidRPr="00FF3EF3">
        <w:rPr>
          <w:rFonts w:ascii="Times New Roman" w:hAnsi="Times New Roman" w:cs="Times New Roman"/>
          <w:i/>
        </w:rPr>
        <w:t xml:space="preserve">If a tenant of a unit in a covered </w:t>
      </w:r>
      <w:r w:rsidR="00942CB4" w:rsidRPr="00FF3EF3">
        <w:rPr>
          <w:rFonts w:ascii="Times New Roman" w:hAnsi="Times New Roman" w:cs="Times New Roman"/>
          <w:i/>
        </w:rPr>
        <w:t>property</w:t>
      </w:r>
      <w:r w:rsidRPr="00FF3EF3">
        <w:rPr>
          <w:rFonts w:ascii="Times New Roman" w:hAnsi="Times New Roman" w:cs="Times New Roman"/>
          <w:i/>
        </w:rPr>
        <w:t xml:space="preserve"> fails to provide information to the owner, the owner shall be considered to</w:t>
      </w:r>
      <w:r w:rsidR="00942CB4" w:rsidRPr="00FF3EF3">
        <w:rPr>
          <w:rFonts w:ascii="Times New Roman" w:hAnsi="Times New Roman" w:cs="Times New Roman"/>
          <w:i/>
        </w:rPr>
        <w:t xml:space="preserve"> have made reasonable effort and</w:t>
      </w:r>
      <w:r w:rsidRPr="00FF3EF3">
        <w:rPr>
          <w:rFonts w:ascii="Times New Roman" w:hAnsi="Times New Roman" w:cs="Times New Roman"/>
          <w:i/>
        </w:rPr>
        <w:t xml:space="preserve"> be in compliance if the owner proves that the owner has requested the tenant to provide necessary information for input into the benchmarking tool, providing the tenant 30 days to respond, and the owner has benchmarked the </w:t>
      </w:r>
      <w:r w:rsidR="00942CB4" w:rsidRPr="00FF3EF3">
        <w:rPr>
          <w:rFonts w:ascii="Times New Roman" w:hAnsi="Times New Roman" w:cs="Times New Roman"/>
          <w:i/>
        </w:rPr>
        <w:t>property</w:t>
      </w:r>
      <w:r w:rsidRPr="00FF3EF3">
        <w:rPr>
          <w:rFonts w:ascii="Times New Roman" w:hAnsi="Times New Roman" w:cs="Times New Roman"/>
          <w:i/>
        </w:rPr>
        <w:t>, using all information otherwise available to the owner.</w:t>
      </w:r>
    </w:p>
    <w:p w:rsidR="00081D97" w:rsidRPr="00FF3EF3" w:rsidRDefault="00081D97" w:rsidP="00FF3EF3">
      <w:pPr>
        <w:jc w:val="both"/>
        <w:rPr>
          <w:rFonts w:ascii="Times New Roman" w:hAnsi="Times New Roman" w:cs="Times New Roman"/>
          <w:i/>
        </w:rPr>
      </w:pPr>
    </w:p>
    <w:p w:rsidR="00081D97" w:rsidRPr="00FF3EF3" w:rsidRDefault="00081D97" w:rsidP="00FF3EF3">
      <w:pPr>
        <w:numPr>
          <w:ilvl w:val="0"/>
          <w:numId w:val="27"/>
        </w:numPr>
        <w:tabs>
          <w:tab w:val="left" w:pos="810"/>
        </w:tabs>
        <w:jc w:val="both"/>
        <w:rPr>
          <w:rFonts w:ascii="Times New Roman" w:hAnsi="Times New Roman" w:cs="Times New Roman"/>
          <w:i/>
        </w:rPr>
      </w:pPr>
      <w:r w:rsidRPr="00FF3EF3">
        <w:rPr>
          <w:rFonts w:ascii="Times New Roman" w:hAnsi="Times New Roman" w:cs="Times New Roman"/>
          <w:i/>
        </w:rPr>
        <w:t>When a</w:t>
      </w:r>
      <w:r w:rsidR="00DF1752" w:rsidRPr="00FF3EF3">
        <w:rPr>
          <w:rFonts w:ascii="Times New Roman" w:hAnsi="Times New Roman" w:cs="Times New Roman"/>
          <w:i/>
        </w:rPr>
        <w:t>n</w:t>
      </w:r>
      <w:r w:rsidRPr="00FF3EF3">
        <w:rPr>
          <w:rFonts w:ascii="Times New Roman" w:hAnsi="Times New Roman" w:cs="Times New Roman"/>
          <w:i/>
        </w:rPr>
        <w:t xml:space="preserve"> owner receives notice that a tenant intends to vacate a unit or other space before reporting benchmarking information, the owner shall request information relating to said tenant’s energy use and any other necessary data relevant to the owner’s obligation to benchmark.</w:t>
      </w:r>
    </w:p>
    <w:p w:rsidR="003B5874" w:rsidRPr="00FF3EF3" w:rsidRDefault="003B5874" w:rsidP="00FF3EF3">
      <w:pPr>
        <w:tabs>
          <w:tab w:val="left" w:pos="810"/>
        </w:tabs>
        <w:jc w:val="both"/>
        <w:rPr>
          <w:rFonts w:ascii="Times New Roman" w:hAnsi="Times New Roman" w:cs="Times New Roman"/>
        </w:rPr>
      </w:pPr>
    </w:p>
    <w:p w:rsidR="00081D97" w:rsidRPr="00FF3EF3" w:rsidRDefault="00081D97" w:rsidP="00FF3EF3">
      <w:pPr>
        <w:jc w:val="both"/>
        <w:rPr>
          <w:rFonts w:ascii="Times New Roman" w:hAnsi="Times New Roman" w:cs="Times New Roman"/>
          <w:i/>
        </w:rPr>
      </w:pPr>
      <w:r w:rsidRPr="00FF3EF3">
        <w:rPr>
          <w:rFonts w:ascii="Times New Roman" w:hAnsi="Times New Roman" w:cs="Times New Roman"/>
          <w:i/>
        </w:rPr>
        <w:t>Correction of Inaccurate Information</w:t>
      </w:r>
    </w:p>
    <w:p w:rsidR="00081D97" w:rsidRPr="00FF3EF3" w:rsidRDefault="00081D97" w:rsidP="00FF3EF3">
      <w:pPr>
        <w:jc w:val="both"/>
        <w:rPr>
          <w:rFonts w:ascii="Times New Roman" w:hAnsi="Times New Roman" w:cs="Times New Roman"/>
          <w:i/>
        </w:rPr>
      </w:pPr>
    </w:p>
    <w:p w:rsidR="00081D97" w:rsidRPr="00FF3EF3" w:rsidRDefault="00081D97" w:rsidP="00FF3EF3">
      <w:pPr>
        <w:numPr>
          <w:ilvl w:val="0"/>
          <w:numId w:val="27"/>
        </w:numPr>
        <w:tabs>
          <w:tab w:val="left" w:pos="810"/>
        </w:tabs>
        <w:jc w:val="both"/>
        <w:rPr>
          <w:rFonts w:ascii="Times New Roman" w:hAnsi="Times New Roman" w:cs="Times New Roman"/>
          <w:i/>
        </w:rPr>
      </w:pPr>
      <w:r w:rsidRPr="00FF3EF3">
        <w:rPr>
          <w:rFonts w:ascii="Times New Roman" w:hAnsi="Times New Roman" w:cs="Times New Roman"/>
          <w:i/>
        </w:rPr>
        <w:t>W</w:t>
      </w:r>
      <w:r w:rsidR="0052417E" w:rsidRPr="00FF3EF3">
        <w:rPr>
          <w:rFonts w:ascii="Times New Roman" w:hAnsi="Times New Roman" w:cs="Times New Roman"/>
          <w:i/>
        </w:rPr>
        <w:t>here the current</w:t>
      </w:r>
      <w:r w:rsidRPr="00FF3EF3">
        <w:rPr>
          <w:rFonts w:ascii="Times New Roman" w:hAnsi="Times New Roman" w:cs="Times New Roman"/>
          <w:i/>
        </w:rPr>
        <w:t xml:space="preserve"> owner learns that any information reported in the benchmarking tool is inaccurate</w:t>
      </w:r>
      <w:r w:rsidR="00310EA4" w:rsidRPr="00FF3EF3">
        <w:rPr>
          <w:rFonts w:ascii="Times New Roman" w:hAnsi="Times New Roman" w:cs="Times New Roman"/>
          <w:i/>
        </w:rPr>
        <w:t xml:space="preserve"> or incomplete</w:t>
      </w:r>
      <w:r w:rsidRPr="00FF3EF3">
        <w:rPr>
          <w:rFonts w:ascii="Times New Roman" w:hAnsi="Times New Roman" w:cs="Times New Roman"/>
          <w:i/>
        </w:rPr>
        <w:t xml:space="preserve">, the information so reported shall be amended in the benchmarking tool by the owner and the owner shall submit an updated benchmarking report to the </w:t>
      </w:r>
      <w:r w:rsidR="00942CB4" w:rsidRPr="00FF3EF3">
        <w:rPr>
          <w:rFonts w:ascii="Times New Roman" w:hAnsi="Times New Roman" w:cs="Times New Roman"/>
          <w:i/>
        </w:rPr>
        <w:t>Department</w:t>
      </w:r>
      <w:r w:rsidRPr="00FF3EF3">
        <w:rPr>
          <w:rFonts w:ascii="Times New Roman" w:hAnsi="Times New Roman" w:cs="Times New Roman"/>
          <w:i/>
        </w:rPr>
        <w:t xml:space="preserve"> within 60 days of learning of the inaccuracy.</w:t>
      </w:r>
    </w:p>
    <w:p w:rsidR="00081D97" w:rsidRPr="00FF3EF3" w:rsidRDefault="00081D97" w:rsidP="00FF3EF3">
      <w:pPr>
        <w:jc w:val="both"/>
        <w:rPr>
          <w:rFonts w:ascii="Times New Roman" w:hAnsi="Times New Roman" w:cs="Times New Roman"/>
        </w:rPr>
      </w:pPr>
    </w:p>
    <w:p w:rsidR="00081D97" w:rsidRPr="00FF3EF3" w:rsidRDefault="0054050F" w:rsidP="00FF3EF3">
      <w:pPr>
        <w:jc w:val="both"/>
        <w:rPr>
          <w:rFonts w:ascii="Times New Roman" w:hAnsi="Times New Roman" w:cs="Times New Roman"/>
          <w:b/>
        </w:rPr>
      </w:pPr>
      <w:r w:rsidRPr="00FF3EF3">
        <w:rPr>
          <w:rFonts w:ascii="Times New Roman" w:hAnsi="Times New Roman" w:cs="Times New Roman"/>
          <w:i/>
        </w:rPr>
        <w:t>Section 8-2226. – Benchmarking Disclosure.</w:t>
      </w:r>
    </w:p>
    <w:p w:rsidR="00081D97" w:rsidRPr="00FF3EF3" w:rsidRDefault="00081D97" w:rsidP="00FF3EF3">
      <w:pPr>
        <w:jc w:val="both"/>
        <w:rPr>
          <w:rFonts w:ascii="Times New Roman" w:hAnsi="Times New Roman" w:cs="Times New Roman"/>
        </w:rPr>
      </w:pPr>
    </w:p>
    <w:p w:rsidR="00081D97" w:rsidRPr="00FF3EF3" w:rsidRDefault="00081D97" w:rsidP="00FF3EF3">
      <w:pPr>
        <w:numPr>
          <w:ilvl w:val="0"/>
          <w:numId w:val="28"/>
        </w:numPr>
        <w:tabs>
          <w:tab w:val="left" w:pos="810"/>
        </w:tabs>
        <w:jc w:val="both"/>
        <w:rPr>
          <w:rFonts w:ascii="Times New Roman" w:hAnsi="Times New Roman" w:cs="Times New Roman"/>
          <w:i/>
        </w:rPr>
      </w:pPr>
      <w:r w:rsidRPr="00FF3EF3">
        <w:rPr>
          <w:rFonts w:ascii="Times New Roman" w:hAnsi="Times New Roman" w:cs="Times New Roman"/>
          <w:i/>
        </w:rPr>
        <w:t xml:space="preserve">The </w:t>
      </w:r>
      <w:r w:rsidR="00942CB4" w:rsidRPr="00FF3EF3">
        <w:rPr>
          <w:rFonts w:ascii="Times New Roman" w:hAnsi="Times New Roman" w:cs="Times New Roman"/>
          <w:i/>
        </w:rPr>
        <w:t>Department</w:t>
      </w:r>
      <w:r w:rsidRPr="00FF3EF3">
        <w:rPr>
          <w:rFonts w:ascii="Times New Roman" w:hAnsi="Times New Roman" w:cs="Times New Roman"/>
          <w:i/>
        </w:rPr>
        <w:t xml:space="preserve"> shall </w:t>
      </w:r>
      <w:r w:rsidR="008D2D3C" w:rsidRPr="00FF3EF3">
        <w:rPr>
          <w:rFonts w:ascii="Times New Roman" w:hAnsi="Times New Roman" w:cs="Times New Roman"/>
          <w:i/>
        </w:rPr>
        <w:t xml:space="preserve">electronically </w:t>
      </w:r>
      <w:r w:rsidRPr="00FF3EF3">
        <w:rPr>
          <w:rFonts w:ascii="Times New Roman" w:hAnsi="Times New Roman" w:cs="Times New Roman"/>
          <w:i/>
        </w:rPr>
        <w:t>make available to the public the disclosed benchmarking information for the previous calendar year for</w:t>
      </w:r>
      <w:r w:rsidR="00C77B37" w:rsidRPr="00FF3EF3">
        <w:rPr>
          <w:rFonts w:ascii="Times New Roman" w:hAnsi="Times New Roman" w:cs="Times New Roman"/>
          <w:i/>
        </w:rPr>
        <w:t xml:space="preserve"> all city covered properties and for</w:t>
      </w:r>
      <w:r w:rsidR="00101C90" w:rsidRPr="00FF3EF3">
        <w:rPr>
          <w:rFonts w:ascii="Times New Roman" w:hAnsi="Times New Roman" w:cs="Times New Roman"/>
          <w:i/>
        </w:rPr>
        <w:t xml:space="preserve"> covered</w:t>
      </w:r>
      <w:r w:rsidR="00C77B37" w:rsidRPr="00FF3EF3">
        <w:rPr>
          <w:rFonts w:ascii="Times New Roman" w:hAnsi="Times New Roman" w:cs="Times New Roman"/>
          <w:i/>
        </w:rPr>
        <w:t xml:space="preserve"> non-city</w:t>
      </w:r>
      <w:r w:rsidRPr="00FF3EF3">
        <w:rPr>
          <w:rFonts w:ascii="Times New Roman" w:hAnsi="Times New Roman" w:cs="Times New Roman"/>
          <w:i/>
        </w:rPr>
        <w:t xml:space="preserve"> properties</w:t>
      </w:r>
      <w:r w:rsidR="00C77B37" w:rsidRPr="00FF3EF3">
        <w:rPr>
          <w:rFonts w:ascii="Times New Roman" w:hAnsi="Times New Roman" w:cs="Times New Roman"/>
          <w:i/>
        </w:rPr>
        <w:t xml:space="preserve"> with </w:t>
      </w:r>
      <w:r w:rsidR="00D92D09" w:rsidRPr="00FF3EF3">
        <w:rPr>
          <w:rFonts w:ascii="Times New Roman" w:hAnsi="Times New Roman" w:cs="Times New Roman"/>
          <w:i/>
        </w:rPr>
        <w:t xml:space="preserve">an </w:t>
      </w:r>
      <w:r w:rsidR="00C77B37" w:rsidRPr="00FF3EF3">
        <w:rPr>
          <w:rFonts w:ascii="Times New Roman" w:hAnsi="Times New Roman" w:cs="Times New Roman"/>
          <w:i/>
        </w:rPr>
        <w:t>energy</w:t>
      </w:r>
      <w:r w:rsidR="00D4718A" w:rsidRPr="00FF3EF3">
        <w:rPr>
          <w:rFonts w:ascii="Times New Roman" w:hAnsi="Times New Roman" w:cs="Times New Roman"/>
          <w:i/>
        </w:rPr>
        <w:t xml:space="preserve"> performance better than </w:t>
      </w:r>
      <w:r w:rsidR="002B64D9" w:rsidRPr="00FF3EF3">
        <w:rPr>
          <w:rFonts w:ascii="Times New Roman" w:hAnsi="Times New Roman" w:cs="Times New Roman"/>
          <w:i/>
        </w:rPr>
        <w:t>or equal to the national median</w:t>
      </w:r>
      <w:r w:rsidR="00D55FFA" w:rsidRPr="00FF3EF3">
        <w:rPr>
          <w:rFonts w:ascii="Times New Roman" w:hAnsi="Times New Roman" w:cs="Times New Roman"/>
          <w:i/>
        </w:rPr>
        <w:t xml:space="preserve"> as determined by an EPA Energy Star score greater than or equal to a score of 50.</w:t>
      </w:r>
      <w:r w:rsidR="00D4718A" w:rsidRPr="00FF3EF3">
        <w:rPr>
          <w:rFonts w:ascii="Times New Roman" w:hAnsi="Times New Roman" w:cs="Times New Roman"/>
          <w:i/>
        </w:rPr>
        <w:t xml:space="preserve"> If</w:t>
      </w:r>
      <w:r w:rsidR="00D55FFA" w:rsidRPr="00FF3EF3">
        <w:rPr>
          <w:rFonts w:ascii="Times New Roman" w:hAnsi="Times New Roman" w:cs="Times New Roman"/>
          <w:i/>
        </w:rPr>
        <w:t xml:space="preserve"> there is no EPA Energy Star score for</w:t>
      </w:r>
      <w:r w:rsidR="00D4718A" w:rsidRPr="00FF3EF3">
        <w:rPr>
          <w:rFonts w:ascii="Times New Roman" w:hAnsi="Times New Roman" w:cs="Times New Roman"/>
          <w:i/>
        </w:rPr>
        <w:t xml:space="preserve"> a covered property</w:t>
      </w:r>
      <w:r w:rsidR="00D55FFA" w:rsidRPr="00FF3EF3">
        <w:rPr>
          <w:rFonts w:ascii="Times New Roman" w:hAnsi="Times New Roman" w:cs="Times New Roman"/>
          <w:i/>
        </w:rPr>
        <w:t xml:space="preserve">, </w:t>
      </w:r>
      <w:r w:rsidR="003F1BFE" w:rsidRPr="00FF3EF3">
        <w:rPr>
          <w:rFonts w:ascii="Times New Roman" w:hAnsi="Times New Roman" w:cs="Times New Roman"/>
          <w:i/>
        </w:rPr>
        <w:t xml:space="preserve">an energy use intensity less than or equal to </w:t>
      </w:r>
      <w:r w:rsidR="00D55FFA" w:rsidRPr="00FF3EF3">
        <w:rPr>
          <w:rFonts w:ascii="Times New Roman" w:hAnsi="Times New Roman" w:cs="Times New Roman"/>
          <w:i/>
        </w:rPr>
        <w:t>the</w:t>
      </w:r>
      <w:r w:rsidR="003F1BFE" w:rsidRPr="00FF3EF3">
        <w:rPr>
          <w:rFonts w:ascii="Times New Roman" w:hAnsi="Times New Roman" w:cs="Times New Roman"/>
          <w:i/>
        </w:rPr>
        <w:t xml:space="preserve"> national</w:t>
      </w:r>
      <w:r w:rsidR="00D55FFA" w:rsidRPr="00FF3EF3">
        <w:rPr>
          <w:rFonts w:ascii="Times New Roman" w:hAnsi="Times New Roman" w:cs="Times New Roman"/>
          <w:i/>
        </w:rPr>
        <w:t xml:space="preserve"> median</w:t>
      </w:r>
      <w:r w:rsidR="003F1BFE" w:rsidRPr="00FF3EF3">
        <w:rPr>
          <w:rFonts w:ascii="Times New Roman" w:hAnsi="Times New Roman" w:cs="Times New Roman"/>
          <w:i/>
        </w:rPr>
        <w:t xml:space="preserve"> established by the most recent Commercial Buildings Energy Consumption Survey or Residential Energy Consumption Survey of the Energy Information Administration</w:t>
      </w:r>
      <w:r w:rsidRPr="00FF3EF3">
        <w:rPr>
          <w:rFonts w:ascii="Times New Roman" w:hAnsi="Times New Roman" w:cs="Times New Roman"/>
          <w:i/>
        </w:rPr>
        <w:t xml:space="preserve">. The </w:t>
      </w:r>
      <w:r w:rsidR="00942CB4" w:rsidRPr="00FF3EF3">
        <w:rPr>
          <w:rFonts w:ascii="Times New Roman" w:hAnsi="Times New Roman" w:cs="Times New Roman"/>
          <w:i/>
        </w:rPr>
        <w:t>Department</w:t>
      </w:r>
      <w:r w:rsidRPr="00FF3EF3">
        <w:rPr>
          <w:rFonts w:ascii="Times New Roman" w:hAnsi="Times New Roman" w:cs="Times New Roman"/>
          <w:i/>
        </w:rPr>
        <w:t xml:space="preserve"> shall make available to the public and update annually the following information:</w:t>
      </w:r>
    </w:p>
    <w:p w:rsidR="00081D97" w:rsidRPr="00FF3EF3" w:rsidRDefault="00081D97" w:rsidP="00FF3EF3">
      <w:pPr>
        <w:numPr>
          <w:ilvl w:val="1"/>
          <w:numId w:val="28"/>
        </w:numPr>
        <w:tabs>
          <w:tab w:val="left" w:pos="810"/>
        </w:tabs>
        <w:jc w:val="both"/>
        <w:rPr>
          <w:rFonts w:ascii="Times New Roman" w:hAnsi="Times New Roman" w:cs="Times New Roman"/>
          <w:i/>
        </w:rPr>
      </w:pPr>
      <w:r w:rsidRPr="00FF3EF3">
        <w:rPr>
          <w:rFonts w:ascii="Times New Roman" w:hAnsi="Times New Roman" w:cs="Times New Roman"/>
          <w:i/>
        </w:rPr>
        <w:t>Summary statistics of overall compliance;</w:t>
      </w:r>
    </w:p>
    <w:p w:rsidR="00081D97" w:rsidRPr="00FF3EF3" w:rsidRDefault="00081D97" w:rsidP="00FF3EF3">
      <w:pPr>
        <w:numPr>
          <w:ilvl w:val="1"/>
          <w:numId w:val="28"/>
        </w:numPr>
        <w:tabs>
          <w:tab w:val="left" w:pos="810"/>
        </w:tabs>
        <w:jc w:val="both"/>
        <w:rPr>
          <w:rFonts w:ascii="Times New Roman" w:hAnsi="Times New Roman" w:cs="Times New Roman"/>
          <w:i/>
        </w:rPr>
      </w:pPr>
      <w:r w:rsidRPr="00FF3EF3">
        <w:rPr>
          <w:rFonts w:ascii="Times New Roman" w:hAnsi="Times New Roman" w:cs="Times New Roman"/>
          <w:i/>
        </w:rPr>
        <w:t xml:space="preserve">Annual </w:t>
      </w:r>
      <w:r w:rsidR="008D2D3C" w:rsidRPr="00FF3EF3">
        <w:rPr>
          <w:rFonts w:ascii="Times New Roman" w:hAnsi="Times New Roman" w:cs="Times New Roman"/>
          <w:i/>
        </w:rPr>
        <w:t xml:space="preserve">non-financial </w:t>
      </w:r>
      <w:r w:rsidRPr="00FF3EF3">
        <w:rPr>
          <w:rFonts w:ascii="Times New Roman" w:hAnsi="Times New Roman" w:cs="Times New Roman"/>
          <w:i/>
        </w:rPr>
        <w:t>summary statistics for each building, including energy</w:t>
      </w:r>
      <w:r w:rsidR="008D2D3C" w:rsidRPr="00FF3EF3">
        <w:rPr>
          <w:rFonts w:ascii="Times New Roman" w:hAnsi="Times New Roman" w:cs="Times New Roman"/>
          <w:i/>
        </w:rPr>
        <w:t xml:space="preserve"> and water</w:t>
      </w:r>
      <w:r w:rsidRPr="00FF3EF3">
        <w:rPr>
          <w:rFonts w:ascii="Times New Roman" w:hAnsi="Times New Roman" w:cs="Times New Roman"/>
          <w:i/>
        </w:rPr>
        <w:t xml:space="preserve"> consumption, </w:t>
      </w:r>
      <w:r w:rsidR="008D2D3C" w:rsidRPr="00FF3EF3">
        <w:rPr>
          <w:rFonts w:ascii="Times New Roman" w:hAnsi="Times New Roman" w:cs="Times New Roman"/>
          <w:i/>
        </w:rPr>
        <w:t xml:space="preserve">weather-normalized </w:t>
      </w:r>
      <w:r w:rsidRPr="00FF3EF3">
        <w:rPr>
          <w:rFonts w:ascii="Times New Roman" w:hAnsi="Times New Roman" w:cs="Times New Roman"/>
          <w:i/>
        </w:rPr>
        <w:t xml:space="preserve">energy </w:t>
      </w:r>
      <w:r w:rsidR="008D2D3C" w:rsidRPr="00FF3EF3">
        <w:rPr>
          <w:rFonts w:ascii="Times New Roman" w:hAnsi="Times New Roman" w:cs="Times New Roman"/>
          <w:i/>
        </w:rPr>
        <w:t xml:space="preserve">and water </w:t>
      </w:r>
      <w:r w:rsidRPr="00FF3EF3">
        <w:rPr>
          <w:rFonts w:ascii="Times New Roman" w:hAnsi="Times New Roman" w:cs="Times New Roman"/>
          <w:i/>
        </w:rPr>
        <w:t>use intensity, ener</w:t>
      </w:r>
      <w:r w:rsidR="008D2D3C" w:rsidRPr="00FF3EF3">
        <w:rPr>
          <w:rFonts w:ascii="Times New Roman" w:hAnsi="Times New Roman" w:cs="Times New Roman"/>
          <w:i/>
        </w:rPr>
        <w:t>gy performance score, greenhouse gas emissions</w:t>
      </w:r>
      <w:r w:rsidR="00101C90" w:rsidRPr="00FF3EF3">
        <w:rPr>
          <w:rFonts w:ascii="Times New Roman" w:hAnsi="Times New Roman" w:cs="Times New Roman"/>
          <w:i/>
        </w:rPr>
        <w:t>, and a comment field</w:t>
      </w:r>
      <w:r w:rsidR="00372265" w:rsidRPr="00FF3EF3">
        <w:rPr>
          <w:rFonts w:ascii="Times New Roman" w:hAnsi="Times New Roman" w:cs="Times New Roman"/>
          <w:i/>
        </w:rPr>
        <w:t xml:space="preserve"> to add context to the reported values</w:t>
      </w:r>
      <w:r w:rsidRPr="00FF3EF3">
        <w:rPr>
          <w:rFonts w:ascii="Times New Roman" w:hAnsi="Times New Roman" w:cs="Times New Roman"/>
          <w:i/>
        </w:rPr>
        <w:t>;</w:t>
      </w:r>
    </w:p>
    <w:p w:rsidR="00081D97" w:rsidRPr="00FF3EF3" w:rsidRDefault="00081D97" w:rsidP="00FF3EF3">
      <w:pPr>
        <w:numPr>
          <w:ilvl w:val="1"/>
          <w:numId w:val="28"/>
        </w:numPr>
        <w:tabs>
          <w:tab w:val="left" w:pos="810"/>
        </w:tabs>
        <w:jc w:val="both"/>
        <w:rPr>
          <w:rFonts w:ascii="Times New Roman" w:hAnsi="Times New Roman" w:cs="Times New Roman"/>
          <w:i/>
        </w:rPr>
      </w:pPr>
      <w:r w:rsidRPr="00FF3EF3">
        <w:rPr>
          <w:rFonts w:ascii="Times New Roman" w:hAnsi="Times New Roman" w:cs="Times New Roman"/>
          <w:i/>
        </w:rPr>
        <w:t>A means of comparing benchmarking information across calendar years for any years such building was benchmarked.</w:t>
      </w:r>
    </w:p>
    <w:p w:rsidR="00081D97" w:rsidRPr="00FF3EF3" w:rsidRDefault="00081D97" w:rsidP="00FF3EF3">
      <w:pPr>
        <w:tabs>
          <w:tab w:val="left" w:pos="810"/>
        </w:tabs>
        <w:ind w:left="1440"/>
        <w:jc w:val="both"/>
        <w:rPr>
          <w:rFonts w:ascii="Times New Roman" w:hAnsi="Times New Roman" w:cs="Times New Roman"/>
          <w:i/>
        </w:rPr>
      </w:pPr>
    </w:p>
    <w:p w:rsidR="00081D97" w:rsidRPr="00FF3EF3" w:rsidRDefault="00081D97" w:rsidP="00FF3EF3">
      <w:pPr>
        <w:numPr>
          <w:ilvl w:val="0"/>
          <w:numId w:val="28"/>
        </w:numPr>
        <w:tabs>
          <w:tab w:val="left" w:pos="810"/>
        </w:tabs>
        <w:jc w:val="both"/>
        <w:rPr>
          <w:rFonts w:ascii="Times New Roman" w:hAnsi="Times New Roman" w:cs="Times New Roman"/>
          <w:i/>
        </w:rPr>
      </w:pPr>
      <w:r w:rsidRPr="00FF3EF3">
        <w:rPr>
          <w:rFonts w:ascii="Times New Roman" w:hAnsi="Times New Roman" w:cs="Times New Roman"/>
          <w:i/>
        </w:rPr>
        <w:lastRenderedPageBreak/>
        <w:t xml:space="preserve">The </w:t>
      </w:r>
      <w:r w:rsidR="00942CB4" w:rsidRPr="00FF3EF3">
        <w:rPr>
          <w:rFonts w:ascii="Times New Roman" w:hAnsi="Times New Roman" w:cs="Times New Roman"/>
          <w:i/>
        </w:rPr>
        <w:t>Department</w:t>
      </w:r>
      <w:r w:rsidRPr="00FF3EF3">
        <w:rPr>
          <w:rFonts w:ascii="Times New Roman" w:hAnsi="Times New Roman" w:cs="Times New Roman"/>
          <w:i/>
        </w:rPr>
        <w:t xml:space="preserve"> shall make public benchmarking data for covered properties according to the following schedule</w:t>
      </w:r>
      <w:r w:rsidR="00A70FD6" w:rsidRPr="00FF3EF3">
        <w:rPr>
          <w:rFonts w:ascii="Times New Roman" w:hAnsi="Times New Roman" w:cs="Times New Roman"/>
          <w:i/>
        </w:rPr>
        <w:t xml:space="preserve"> and illustrated in the following chart</w:t>
      </w:r>
      <w:r w:rsidRPr="00FF3EF3">
        <w:rPr>
          <w:rFonts w:ascii="Times New Roman" w:hAnsi="Times New Roman" w:cs="Times New Roman"/>
          <w:i/>
        </w:rPr>
        <w:t>:</w:t>
      </w:r>
    </w:p>
    <w:p w:rsidR="00081D97" w:rsidRPr="00FF3EF3" w:rsidRDefault="00D2656F" w:rsidP="00FF3EF3">
      <w:pPr>
        <w:numPr>
          <w:ilvl w:val="1"/>
          <w:numId w:val="28"/>
        </w:numPr>
        <w:tabs>
          <w:tab w:val="left" w:pos="810"/>
        </w:tabs>
        <w:jc w:val="both"/>
        <w:rPr>
          <w:rFonts w:ascii="Times New Roman" w:hAnsi="Times New Roman" w:cs="Times New Roman"/>
          <w:i/>
        </w:rPr>
      </w:pPr>
      <w:r w:rsidRPr="00FF3EF3">
        <w:rPr>
          <w:rFonts w:ascii="Times New Roman" w:hAnsi="Times New Roman" w:cs="Times New Roman"/>
          <w:i/>
        </w:rPr>
        <w:t>Covered city properties by July</w:t>
      </w:r>
      <w:r w:rsidR="00081D97" w:rsidRPr="00FF3EF3">
        <w:rPr>
          <w:rFonts w:ascii="Times New Roman" w:hAnsi="Times New Roman" w:cs="Times New Roman"/>
          <w:i/>
        </w:rPr>
        <w:t xml:space="preserve"> 1, 2015</w:t>
      </w:r>
      <w:r w:rsidRPr="00FF3EF3">
        <w:rPr>
          <w:rFonts w:ascii="Times New Roman" w:hAnsi="Times New Roman" w:cs="Times New Roman"/>
          <w:i/>
        </w:rPr>
        <w:t xml:space="preserve"> and September</w:t>
      </w:r>
      <w:r w:rsidR="00FB660C" w:rsidRPr="00FF3EF3">
        <w:rPr>
          <w:rFonts w:ascii="Times New Roman" w:hAnsi="Times New Roman" w:cs="Times New Roman"/>
          <w:i/>
        </w:rPr>
        <w:t xml:space="preserve"> 1, 2016</w:t>
      </w:r>
      <w:r w:rsidR="00081D97" w:rsidRPr="00FF3EF3">
        <w:rPr>
          <w:rFonts w:ascii="Times New Roman" w:hAnsi="Times New Roman" w:cs="Times New Roman"/>
          <w:i/>
        </w:rPr>
        <w:t>;</w:t>
      </w:r>
    </w:p>
    <w:p w:rsidR="00A70FD6" w:rsidRPr="00FF3EF3" w:rsidRDefault="000F0F60" w:rsidP="00FF3EF3">
      <w:pPr>
        <w:numPr>
          <w:ilvl w:val="1"/>
          <w:numId w:val="28"/>
        </w:numPr>
        <w:tabs>
          <w:tab w:val="left" w:pos="810"/>
        </w:tabs>
        <w:jc w:val="both"/>
        <w:rPr>
          <w:rFonts w:ascii="Times New Roman" w:hAnsi="Times New Roman" w:cs="Times New Roman"/>
          <w:i/>
        </w:rPr>
      </w:pPr>
      <w:r w:rsidRPr="00FF3EF3">
        <w:rPr>
          <w:rFonts w:ascii="Times New Roman" w:hAnsi="Times New Roman" w:cs="Times New Roman"/>
          <w:i/>
        </w:rPr>
        <w:t>Covered city properties</w:t>
      </w:r>
      <w:r w:rsidR="00081D97" w:rsidRPr="00FF3EF3">
        <w:rPr>
          <w:rFonts w:ascii="Times New Roman" w:hAnsi="Times New Roman" w:cs="Times New Roman"/>
          <w:i/>
        </w:rPr>
        <w:t xml:space="preserve"> and covered non-city properties </w:t>
      </w:r>
      <w:r w:rsidR="00FB660C" w:rsidRPr="00FF3EF3">
        <w:rPr>
          <w:rFonts w:ascii="Times New Roman" w:hAnsi="Times New Roman" w:cs="Times New Roman"/>
          <w:i/>
        </w:rPr>
        <w:t xml:space="preserve">by </w:t>
      </w:r>
      <w:r w:rsidR="00D2656F" w:rsidRPr="00FF3EF3">
        <w:rPr>
          <w:rFonts w:ascii="Times New Roman" w:hAnsi="Times New Roman" w:cs="Times New Roman"/>
          <w:i/>
        </w:rPr>
        <w:t>September 1, 2016</w:t>
      </w:r>
      <w:r w:rsidR="00FB660C" w:rsidRPr="00FF3EF3">
        <w:rPr>
          <w:rFonts w:ascii="Times New Roman" w:hAnsi="Times New Roman" w:cs="Times New Roman"/>
          <w:i/>
        </w:rPr>
        <w:t xml:space="preserve"> and every year thereafter.</w:t>
      </w:r>
    </w:p>
    <w:p w:rsidR="00A70FD6" w:rsidRPr="00FF3EF3" w:rsidRDefault="00A70FD6" w:rsidP="00FF3EF3">
      <w:pPr>
        <w:tabs>
          <w:tab w:val="left" w:pos="810"/>
        </w:tabs>
        <w:jc w:val="both"/>
        <w:rPr>
          <w:rFonts w:ascii="Times New Roman" w:hAnsi="Times New Roman" w:cs="Times New Roman"/>
          <w:i/>
        </w:rPr>
      </w:pPr>
    </w:p>
    <w:tbl>
      <w:tblPr>
        <w:tblStyle w:val="TableGrid"/>
        <w:tblW w:w="0" w:type="auto"/>
        <w:tblInd w:w="450" w:type="dxa"/>
        <w:tblLayout w:type="fixed"/>
        <w:tblLook w:val="04A0" w:firstRow="1" w:lastRow="0" w:firstColumn="1" w:lastColumn="0" w:noHBand="0" w:noVBand="1"/>
      </w:tblPr>
      <w:tblGrid>
        <w:gridCol w:w="2500"/>
        <w:gridCol w:w="1478"/>
        <w:gridCol w:w="1980"/>
        <w:gridCol w:w="1980"/>
      </w:tblGrid>
      <w:tr w:rsidR="00A70FD6" w:rsidRPr="00FF3EF3" w:rsidTr="00A70FD6">
        <w:tc>
          <w:tcPr>
            <w:tcW w:w="2500" w:type="dxa"/>
          </w:tcPr>
          <w:p w:rsidR="00A70FD6" w:rsidRPr="00FF3EF3" w:rsidRDefault="00A70FD6" w:rsidP="00FF3EF3">
            <w:pPr>
              <w:jc w:val="both"/>
              <w:rPr>
                <w:rFonts w:ascii="Times New Roman" w:hAnsi="Times New Roman"/>
                <w:i/>
              </w:rPr>
            </w:pPr>
            <w:r w:rsidRPr="00FF3EF3">
              <w:rPr>
                <w:rFonts w:ascii="Times New Roman" w:hAnsi="Times New Roman"/>
                <w:i/>
              </w:rPr>
              <w:t>Property Type</w:t>
            </w:r>
          </w:p>
        </w:tc>
        <w:tc>
          <w:tcPr>
            <w:tcW w:w="1478" w:type="dxa"/>
          </w:tcPr>
          <w:p w:rsidR="00A70FD6" w:rsidRPr="00FF3EF3" w:rsidRDefault="00A70FD6" w:rsidP="00FF3EF3">
            <w:pPr>
              <w:jc w:val="both"/>
              <w:rPr>
                <w:rFonts w:ascii="Times New Roman" w:hAnsi="Times New Roman"/>
                <w:i/>
              </w:rPr>
            </w:pPr>
            <w:r w:rsidRPr="00FF3EF3">
              <w:rPr>
                <w:rFonts w:ascii="Times New Roman" w:hAnsi="Times New Roman"/>
                <w:i/>
              </w:rPr>
              <w:t>Covered City Property</w:t>
            </w:r>
          </w:p>
        </w:tc>
        <w:tc>
          <w:tcPr>
            <w:tcW w:w="1980" w:type="dxa"/>
          </w:tcPr>
          <w:p w:rsidR="00A70FD6" w:rsidRPr="00FF3EF3" w:rsidRDefault="00A70FD6" w:rsidP="00FF3EF3">
            <w:pPr>
              <w:jc w:val="both"/>
              <w:rPr>
                <w:rFonts w:ascii="Times New Roman" w:hAnsi="Times New Roman"/>
                <w:i/>
              </w:rPr>
            </w:pPr>
            <w:r w:rsidRPr="00FF3EF3">
              <w:rPr>
                <w:rFonts w:ascii="Times New Roman" w:hAnsi="Times New Roman"/>
                <w:i/>
              </w:rPr>
              <w:t>Covered Non-City Property, 50,000 sqft+</w:t>
            </w:r>
          </w:p>
        </w:tc>
        <w:tc>
          <w:tcPr>
            <w:tcW w:w="1980" w:type="dxa"/>
          </w:tcPr>
          <w:p w:rsidR="00A70FD6" w:rsidRPr="00FF3EF3" w:rsidRDefault="00A70FD6" w:rsidP="00FF3EF3">
            <w:pPr>
              <w:jc w:val="both"/>
              <w:rPr>
                <w:rFonts w:ascii="Times New Roman" w:hAnsi="Times New Roman"/>
                <w:i/>
              </w:rPr>
            </w:pPr>
            <w:r w:rsidRPr="00FF3EF3">
              <w:rPr>
                <w:rFonts w:ascii="Times New Roman" w:hAnsi="Times New Roman"/>
                <w:i/>
              </w:rPr>
              <w:t>Covered Non-City Property, 25,000 sqft+</w:t>
            </w:r>
          </w:p>
        </w:tc>
      </w:tr>
      <w:tr w:rsidR="00A70FD6" w:rsidRPr="00FF3EF3" w:rsidTr="00A70FD6">
        <w:tc>
          <w:tcPr>
            <w:tcW w:w="2500" w:type="dxa"/>
          </w:tcPr>
          <w:p w:rsidR="00A70FD6" w:rsidRPr="00FF3EF3" w:rsidRDefault="00A70FD6" w:rsidP="00FF3EF3">
            <w:pPr>
              <w:jc w:val="both"/>
              <w:rPr>
                <w:rFonts w:ascii="Times New Roman" w:hAnsi="Times New Roman"/>
                <w:i/>
              </w:rPr>
            </w:pPr>
            <w:r w:rsidRPr="00FF3EF3">
              <w:rPr>
                <w:rFonts w:ascii="Times New Roman" w:hAnsi="Times New Roman"/>
                <w:i/>
              </w:rPr>
              <w:t>Date first benchmarking submission due</w:t>
            </w:r>
          </w:p>
        </w:tc>
        <w:tc>
          <w:tcPr>
            <w:tcW w:w="1478" w:type="dxa"/>
          </w:tcPr>
          <w:p w:rsidR="00A70FD6" w:rsidRPr="00FF3EF3" w:rsidRDefault="00A70FD6" w:rsidP="00FF3EF3">
            <w:pPr>
              <w:jc w:val="both"/>
              <w:rPr>
                <w:rFonts w:ascii="Times New Roman" w:hAnsi="Times New Roman"/>
                <w:i/>
              </w:rPr>
            </w:pPr>
            <w:r w:rsidRPr="00FF3EF3">
              <w:rPr>
                <w:rFonts w:ascii="Times New Roman" w:hAnsi="Times New Roman"/>
                <w:i/>
              </w:rPr>
              <w:t>April 2015</w:t>
            </w:r>
          </w:p>
        </w:tc>
        <w:tc>
          <w:tcPr>
            <w:tcW w:w="1980" w:type="dxa"/>
          </w:tcPr>
          <w:p w:rsidR="00A70FD6" w:rsidRPr="00FF3EF3" w:rsidRDefault="009E0BD7" w:rsidP="00FF3EF3">
            <w:pPr>
              <w:jc w:val="both"/>
              <w:rPr>
                <w:rFonts w:ascii="Times New Roman" w:hAnsi="Times New Roman"/>
                <w:i/>
              </w:rPr>
            </w:pPr>
            <w:r w:rsidRPr="00FF3EF3">
              <w:rPr>
                <w:rFonts w:ascii="Times New Roman" w:hAnsi="Times New Roman"/>
                <w:i/>
              </w:rPr>
              <w:t>90 days after passage</w:t>
            </w:r>
          </w:p>
        </w:tc>
        <w:tc>
          <w:tcPr>
            <w:tcW w:w="1980" w:type="dxa"/>
          </w:tcPr>
          <w:p w:rsidR="00A70FD6" w:rsidRPr="00FF3EF3" w:rsidRDefault="00A70FD6" w:rsidP="00FF3EF3">
            <w:pPr>
              <w:jc w:val="both"/>
              <w:rPr>
                <w:rFonts w:ascii="Times New Roman" w:hAnsi="Times New Roman"/>
                <w:i/>
              </w:rPr>
            </w:pPr>
            <w:r w:rsidRPr="00FF3EF3">
              <w:rPr>
                <w:rFonts w:ascii="Times New Roman" w:hAnsi="Times New Roman"/>
                <w:i/>
              </w:rPr>
              <w:t>June 2017</w:t>
            </w:r>
          </w:p>
        </w:tc>
      </w:tr>
      <w:tr w:rsidR="00A70FD6" w:rsidRPr="00FF3EF3" w:rsidTr="00A70FD6">
        <w:tc>
          <w:tcPr>
            <w:tcW w:w="2500" w:type="dxa"/>
          </w:tcPr>
          <w:p w:rsidR="00A70FD6" w:rsidRPr="00FF3EF3" w:rsidRDefault="00A70FD6" w:rsidP="00FF3EF3">
            <w:pPr>
              <w:jc w:val="both"/>
              <w:rPr>
                <w:rFonts w:ascii="Times New Roman" w:hAnsi="Times New Roman"/>
                <w:i/>
              </w:rPr>
            </w:pPr>
            <w:r w:rsidRPr="00FF3EF3">
              <w:rPr>
                <w:rFonts w:ascii="Times New Roman" w:hAnsi="Times New Roman"/>
                <w:i/>
              </w:rPr>
              <w:t>Date of first benchmarking disclosure</w:t>
            </w:r>
          </w:p>
        </w:tc>
        <w:tc>
          <w:tcPr>
            <w:tcW w:w="1478" w:type="dxa"/>
          </w:tcPr>
          <w:p w:rsidR="00A70FD6" w:rsidRPr="00FF3EF3" w:rsidRDefault="00A70FD6" w:rsidP="00FF3EF3">
            <w:pPr>
              <w:jc w:val="both"/>
              <w:rPr>
                <w:rFonts w:ascii="Times New Roman" w:hAnsi="Times New Roman"/>
                <w:i/>
              </w:rPr>
            </w:pPr>
            <w:r w:rsidRPr="00FF3EF3">
              <w:rPr>
                <w:rFonts w:ascii="Times New Roman" w:hAnsi="Times New Roman"/>
                <w:i/>
              </w:rPr>
              <w:t>July 2015</w:t>
            </w:r>
          </w:p>
        </w:tc>
        <w:tc>
          <w:tcPr>
            <w:tcW w:w="1980" w:type="dxa"/>
          </w:tcPr>
          <w:p w:rsidR="00A70FD6" w:rsidRPr="00FF3EF3" w:rsidRDefault="00A70FD6" w:rsidP="00FF3EF3">
            <w:pPr>
              <w:jc w:val="both"/>
              <w:rPr>
                <w:rFonts w:ascii="Times New Roman" w:hAnsi="Times New Roman"/>
                <w:i/>
              </w:rPr>
            </w:pPr>
            <w:r w:rsidRPr="00FF3EF3">
              <w:rPr>
                <w:rFonts w:ascii="Times New Roman" w:hAnsi="Times New Roman"/>
                <w:i/>
              </w:rPr>
              <w:t>September 2016</w:t>
            </w:r>
          </w:p>
        </w:tc>
        <w:tc>
          <w:tcPr>
            <w:tcW w:w="1980" w:type="dxa"/>
          </w:tcPr>
          <w:p w:rsidR="00A70FD6" w:rsidRPr="00FF3EF3" w:rsidRDefault="00A70FD6" w:rsidP="00FF3EF3">
            <w:pPr>
              <w:jc w:val="both"/>
              <w:rPr>
                <w:rFonts w:ascii="Times New Roman" w:hAnsi="Times New Roman"/>
                <w:i/>
              </w:rPr>
            </w:pPr>
            <w:r w:rsidRPr="00FF3EF3">
              <w:rPr>
                <w:rFonts w:ascii="Times New Roman" w:hAnsi="Times New Roman"/>
                <w:i/>
              </w:rPr>
              <w:t>September 2017</w:t>
            </w:r>
          </w:p>
        </w:tc>
      </w:tr>
    </w:tbl>
    <w:p w:rsidR="00714C32" w:rsidRPr="00FF3EF3" w:rsidRDefault="00DF1752" w:rsidP="00FF3EF3">
      <w:pPr>
        <w:tabs>
          <w:tab w:val="left" w:pos="810"/>
        </w:tabs>
        <w:jc w:val="both"/>
        <w:rPr>
          <w:rFonts w:ascii="Times New Roman" w:hAnsi="Times New Roman" w:cs="Times New Roman"/>
          <w:i/>
        </w:rPr>
      </w:pPr>
      <w:r w:rsidRPr="00FF3EF3">
        <w:rPr>
          <w:rFonts w:ascii="Times New Roman" w:hAnsi="Times New Roman" w:cs="Times New Roman"/>
          <w:i/>
        </w:rPr>
        <w:br/>
      </w:r>
    </w:p>
    <w:p w:rsidR="00081D97" w:rsidRPr="00FF3EF3" w:rsidRDefault="006D50C5" w:rsidP="00FF3EF3">
      <w:pPr>
        <w:jc w:val="both"/>
        <w:rPr>
          <w:rFonts w:ascii="Times New Roman" w:hAnsi="Times New Roman" w:cs="Times New Roman"/>
          <w:b/>
        </w:rPr>
      </w:pPr>
      <w:r w:rsidRPr="00FF3EF3">
        <w:rPr>
          <w:rFonts w:ascii="Times New Roman" w:hAnsi="Times New Roman" w:cs="Times New Roman"/>
          <w:i/>
        </w:rPr>
        <w:t>Section 8-2227. – Energy and Water Audit Required.</w:t>
      </w:r>
    </w:p>
    <w:p w:rsidR="00081D97" w:rsidRPr="00FF3EF3" w:rsidRDefault="00081D97" w:rsidP="00FF3EF3">
      <w:pPr>
        <w:jc w:val="both"/>
        <w:rPr>
          <w:rFonts w:ascii="Times New Roman" w:hAnsi="Times New Roman" w:cs="Times New Roman"/>
        </w:rPr>
      </w:pPr>
    </w:p>
    <w:p w:rsidR="00081D97" w:rsidRPr="00FF3EF3" w:rsidRDefault="00081D97" w:rsidP="00FF3EF3">
      <w:pPr>
        <w:pStyle w:val="ListParagraph"/>
        <w:numPr>
          <w:ilvl w:val="0"/>
          <w:numId w:val="29"/>
        </w:numPr>
        <w:jc w:val="both"/>
        <w:rPr>
          <w:rFonts w:ascii="Times New Roman" w:hAnsi="Times New Roman" w:cs="Times New Roman"/>
          <w:i/>
        </w:rPr>
      </w:pPr>
      <w:r w:rsidRPr="00FF3EF3">
        <w:rPr>
          <w:rFonts w:ascii="Times New Roman" w:hAnsi="Times New Roman" w:cs="Times New Roman"/>
          <w:i/>
        </w:rPr>
        <w:t xml:space="preserve">The owner of a covered property shall ensure that an audit is performed on the base building systems of such property, an audit report is generated, and a summary </w:t>
      </w:r>
      <w:r w:rsidR="00FB2263" w:rsidRPr="00FF3EF3">
        <w:rPr>
          <w:rFonts w:ascii="Times New Roman" w:hAnsi="Times New Roman" w:cs="Times New Roman"/>
          <w:i/>
        </w:rPr>
        <w:t>audit report is filed with the D</w:t>
      </w:r>
      <w:r w:rsidRPr="00FF3EF3">
        <w:rPr>
          <w:rFonts w:ascii="Times New Roman" w:hAnsi="Times New Roman" w:cs="Times New Roman"/>
          <w:i/>
        </w:rPr>
        <w:t xml:space="preserve">epartment. An audit shall be performed by or under the supervision of an energy auditor and shall be performed in accordance with rules promulgated by the </w:t>
      </w:r>
      <w:r w:rsidR="00FB2263" w:rsidRPr="00FF3EF3">
        <w:rPr>
          <w:rFonts w:ascii="Times New Roman" w:hAnsi="Times New Roman" w:cs="Times New Roman"/>
          <w:i/>
        </w:rPr>
        <w:t>D</w:t>
      </w:r>
      <w:r w:rsidR="00942CB4" w:rsidRPr="00FF3EF3">
        <w:rPr>
          <w:rFonts w:ascii="Times New Roman" w:hAnsi="Times New Roman" w:cs="Times New Roman"/>
          <w:i/>
        </w:rPr>
        <w:t>epartment</w:t>
      </w:r>
      <w:r w:rsidRPr="00FF3EF3">
        <w:rPr>
          <w:rFonts w:ascii="Times New Roman" w:hAnsi="Times New Roman" w:cs="Times New Roman"/>
          <w:i/>
        </w:rPr>
        <w:t>. The audit process shall cover the base building systems and shall identify at a minimum all items defined in the audit report.</w:t>
      </w:r>
    </w:p>
    <w:p w:rsidR="00714C32" w:rsidRPr="00FF3EF3" w:rsidRDefault="00714C32" w:rsidP="00FF3EF3">
      <w:pPr>
        <w:jc w:val="both"/>
        <w:rPr>
          <w:rFonts w:ascii="Times New Roman" w:hAnsi="Times New Roman" w:cs="Times New Roman"/>
          <w:i/>
        </w:rPr>
      </w:pPr>
    </w:p>
    <w:p w:rsidR="00081D97" w:rsidRPr="00FF3EF3" w:rsidRDefault="00081D97" w:rsidP="00FF3EF3">
      <w:pPr>
        <w:pStyle w:val="ListParagraph"/>
        <w:ind w:left="360"/>
        <w:jc w:val="both"/>
        <w:rPr>
          <w:rFonts w:ascii="Times New Roman" w:hAnsi="Times New Roman" w:cs="Times New Roman"/>
          <w:i/>
        </w:rPr>
      </w:pPr>
      <w:r w:rsidRPr="00FF3EF3">
        <w:rPr>
          <w:rFonts w:ascii="Times New Roman" w:hAnsi="Times New Roman" w:cs="Times New Roman"/>
          <w:i/>
        </w:rPr>
        <w:t xml:space="preserve">Exceptions:  </w:t>
      </w:r>
      <w:r w:rsidR="006A77FD" w:rsidRPr="00FF3EF3">
        <w:rPr>
          <w:rFonts w:ascii="Times New Roman" w:hAnsi="Times New Roman" w:cs="Times New Roman"/>
          <w:i/>
        </w:rPr>
        <w:t>No audit is required if the owner demonstrates that a property qualifies for one or more exceptions under Section 8-2222(b)</w:t>
      </w:r>
      <w:r w:rsidRPr="00FF3EF3">
        <w:rPr>
          <w:rFonts w:ascii="Times New Roman" w:hAnsi="Times New Roman" w:cs="Times New Roman"/>
          <w:i/>
        </w:rPr>
        <w:t xml:space="preserve"> or complies with one of the following as certified by a registered design professional:</w:t>
      </w:r>
    </w:p>
    <w:p w:rsidR="00081D97" w:rsidRPr="00FF3EF3" w:rsidRDefault="00081D97" w:rsidP="00FF3EF3">
      <w:pPr>
        <w:numPr>
          <w:ilvl w:val="1"/>
          <w:numId w:val="29"/>
        </w:numPr>
        <w:jc w:val="both"/>
        <w:rPr>
          <w:rFonts w:ascii="Times New Roman" w:hAnsi="Times New Roman" w:cs="Times New Roman"/>
          <w:i/>
        </w:rPr>
      </w:pPr>
      <w:r w:rsidRPr="00FF3EF3">
        <w:rPr>
          <w:rFonts w:ascii="Times New Roman" w:hAnsi="Times New Roman" w:cs="Times New Roman"/>
          <w:i/>
        </w:rPr>
        <w:t>The covered property has received an EPA Energy Star certification from the EPA for at least two of the three years preceding the due date of the property’s summary audit report.</w:t>
      </w:r>
    </w:p>
    <w:p w:rsidR="00081D97" w:rsidRPr="00FF3EF3" w:rsidRDefault="00081D97" w:rsidP="00FF3EF3">
      <w:pPr>
        <w:numPr>
          <w:ilvl w:val="1"/>
          <w:numId w:val="29"/>
        </w:numPr>
        <w:jc w:val="both"/>
        <w:rPr>
          <w:rFonts w:ascii="Times New Roman" w:hAnsi="Times New Roman" w:cs="Times New Roman"/>
          <w:i/>
        </w:rPr>
      </w:pPr>
      <w:r w:rsidRPr="00FF3EF3">
        <w:rPr>
          <w:rFonts w:ascii="Times New Roman" w:hAnsi="Times New Roman" w:cs="Times New Roman"/>
          <w:i/>
        </w:rPr>
        <w:t xml:space="preserve">There is no EPA Energy Star rating for the building type and a registered design professional submits documentation, as specified in rules promulgated by the </w:t>
      </w:r>
      <w:r w:rsidR="00942CB4" w:rsidRPr="00FF3EF3">
        <w:rPr>
          <w:rFonts w:ascii="Times New Roman" w:hAnsi="Times New Roman" w:cs="Times New Roman"/>
          <w:i/>
        </w:rPr>
        <w:t>Department</w:t>
      </w:r>
      <w:r w:rsidRPr="00FF3EF3">
        <w:rPr>
          <w:rFonts w:ascii="Times New Roman" w:hAnsi="Times New Roman" w:cs="Times New Roman"/>
          <w:i/>
        </w:rPr>
        <w:t>, that the property’s energy performance is 25 or more percentage points better than the performance of an average building of its type over a two-year period within the three-year period prior to the due date for the property’s summary audit report consistent with the methodology of the</w:t>
      </w:r>
      <w:r w:rsidR="00942CB4" w:rsidRPr="00FF3EF3">
        <w:rPr>
          <w:rFonts w:ascii="Times New Roman" w:hAnsi="Times New Roman" w:cs="Times New Roman"/>
          <w:i/>
        </w:rPr>
        <w:t xml:space="preserve"> most recent</w:t>
      </w:r>
      <w:r w:rsidRPr="00FF3EF3">
        <w:rPr>
          <w:rFonts w:ascii="Times New Roman" w:hAnsi="Times New Roman" w:cs="Times New Roman"/>
          <w:i/>
        </w:rPr>
        <w:t xml:space="preserve"> Leadership in Energy and Environmental Design (LEED) </w:t>
      </w:r>
      <w:r w:rsidR="000D36DE" w:rsidRPr="00FF3EF3">
        <w:rPr>
          <w:rFonts w:ascii="Times New Roman" w:hAnsi="Times New Roman" w:cs="Times New Roman"/>
          <w:i/>
        </w:rPr>
        <w:t xml:space="preserve">for Existing Buildings: </w:t>
      </w:r>
      <w:r w:rsidRPr="00FF3EF3">
        <w:rPr>
          <w:rFonts w:ascii="Times New Roman" w:hAnsi="Times New Roman" w:cs="Times New Roman"/>
          <w:i/>
        </w:rPr>
        <w:t>Operation and Maintenan</w:t>
      </w:r>
      <w:r w:rsidR="000D36DE" w:rsidRPr="00FF3EF3">
        <w:rPr>
          <w:rFonts w:ascii="Times New Roman" w:hAnsi="Times New Roman" w:cs="Times New Roman"/>
          <w:i/>
        </w:rPr>
        <w:t>ce</w:t>
      </w:r>
      <w:r w:rsidRPr="00FF3EF3">
        <w:rPr>
          <w:rFonts w:ascii="Times New Roman" w:hAnsi="Times New Roman" w:cs="Times New Roman"/>
          <w:i/>
        </w:rPr>
        <w:t xml:space="preserve"> rating system published by the United States Green Building Council (USGBC) or other rating system or methodology for existing buildings, as determined by the </w:t>
      </w:r>
      <w:r w:rsidR="00942CB4" w:rsidRPr="00FF3EF3">
        <w:rPr>
          <w:rFonts w:ascii="Times New Roman" w:hAnsi="Times New Roman" w:cs="Times New Roman"/>
          <w:i/>
        </w:rPr>
        <w:t>Department</w:t>
      </w:r>
      <w:r w:rsidRPr="00FF3EF3">
        <w:rPr>
          <w:rFonts w:ascii="Times New Roman" w:hAnsi="Times New Roman" w:cs="Times New Roman"/>
          <w:i/>
        </w:rPr>
        <w:t>.</w:t>
      </w:r>
    </w:p>
    <w:p w:rsidR="00081D97" w:rsidRPr="00FF3EF3" w:rsidRDefault="00081D97" w:rsidP="00FF3EF3">
      <w:pPr>
        <w:numPr>
          <w:ilvl w:val="1"/>
          <w:numId w:val="29"/>
        </w:numPr>
        <w:jc w:val="both"/>
        <w:rPr>
          <w:rFonts w:ascii="Times New Roman" w:hAnsi="Times New Roman" w:cs="Times New Roman"/>
          <w:i/>
        </w:rPr>
      </w:pPr>
      <w:r w:rsidRPr="00FF3EF3">
        <w:rPr>
          <w:rFonts w:ascii="Times New Roman" w:hAnsi="Times New Roman" w:cs="Times New Roman"/>
          <w:i/>
        </w:rPr>
        <w:t>The covered property has improved its EPA Energy Star score by 15 points or the property’s weather-normalized source energy use intensity has been reduced by 15% within the five years preceding the filing of the property’s summary audit report.</w:t>
      </w:r>
    </w:p>
    <w:p w:rsidR="00EB2E00" w:rsidRDefault="00EA6AE3" w:rsidP="00FF3EF3">
      <w:pPr>
        <w:numPr>
          <w:ilvl w:val="1"/>
          <w:numId w:val="29"/>
        </w:numPr>
        <w:jc w:val="both"/>
        <w:rPr>
          <w:rFonts w:ascii="Times New Roman" w:hAnsi="Times New Roman" w:cs="Times New Roman"/>
          <w:i/>
        </w:rPr>
      </w:pPr>
      <w:r w:rsidRPr="00FF3EF3">
        <w:rPr>
          <w:rFonts w:ascii="Times New Roman" w:hAnsi="Times New Roman" w:cs="Times New Roman"/>
          <w:i/>
        </w:rPr>
        <w:lastRenderedPageBreak/>
        <w:t xml:space="preserve">The covered </w:t>
      </w:r>
      <w:r w:rsidR="00984E30" w:rsidRPr="00FF3EF3">
        <w:rPr>
          <w:rFonts w:ascii="Times New Roman" w:hAnsi="Times New Roman" w:cs="Times New Roman"/>
          <w:i/>
        </w:rPr>
        <w:t xml:space="preserve">property has </w:t>
      </w:r>
      <w:r w:rsidR="005E5B5F" w:rsidRPr="00FF3EF3">
        <w:rPr>
          <w:rFonts w:ascii="Times New Roman" w:hAnsi="Times New Roman" w:cs="Times New Roman"/>
          <w:i/>
        </w:rPr>
        <w:t xml:space="preserve">achieved or </w:t>
      </w:r>
      <w:r w:rsidR="000165A6" w:rsidRPr="00FF3EF3">
        <w:rPr>
          <w:rFonts w:ascii="Times New Roman" w:hAnsi="Times New Roman" w:cs="Times New Roman"/>
          <w:i/>
        </w:rPr>
        <w:t>maintained the most recent</w:t>
      </w:r>
      <w:r w:rsidRPr="00FF3EF3">
        <w:rPr>
          <w:rFonts w:ascii="Times New Roman" w:hAnsi="Times New Roman" w:cs="Times New Roman"/>
          <w:i/>
        </w:rPr>
        <w:t xml:space="preserve"> </w:t>
      </w:r>
      <w:r w:rsidR="00EB2E00" w:rsidRPr="00FF3EF3">
        <w:rPr>
          <w:rFonts w:ascii="Times New Roman" w:hAnsi="Times New Roman" w:cs="Times New Roman"/>
          <w:i/>
        </w:rPr>
        <w:t xml:space="preserve">LEED </w:t>
      </w:r>
      <w:r w:rsidR="000165A6" w:rsidRPr="00FF3EF3">
        <w:rPr>
          <w:rFonts w:ascii="Times New Roman" w:hAnsi="Times New Roman" w:cs="Times New Roman"/>
          <w:i/>
        </w:rPr>
        <w:t>for Existing B</w:t>
      </w:r>
      <w:r w:rsidRPr="00FF3EF3">
        <w:rPr>
          <w:rFonts w:ascii="Times New Roman" w:hAnsi="Times New Roman" w:cs="Times New Roman"/>
          <w:i/>
        </w:rPr>
        <w:t>uilding</w:t>
      </w:r>
      <w:r w:rsidR="000165A6" w:rsidRPr="00FF3EF3">
        <w:rPr>
          <w:rFonts w:ascii="Times New Roman" w:hAnsi="Times New Roman" w:cs="Times New Roman"/>
          <w:i/>
        </w:rPr>
        <w:t>s</w:t>
      </w:r>
      <w:r w:rsidR="000B7E18" w:rsidRPr="00FF3EF3">
        <w:rPr>
          <w:rFonts w:ascii="Times New Roman" w:hAnsi="Times New Roman" w:cs="Times New Roman"/>
          <w:i/>
        </w:rPr>
        <w:t>: Operations and Maintenance</w:t>
      </w:r>
      <w:r w:rsidRPr="00FF3EF3">
        <w:rPr>
          <w:rFonts w:ascii="Times New Roman" w:hAnsi="Times New Roman" w:cs="Times New Roman"/>
          <w:i/>
        </w:rPr>
        <w:t xml:space="preserve"> </w:t>
      </w:r>
      <w:r w:rsidR="00EB2E00" w:rsidRPr="00FF3EF3">
        <w:rPr>
          <w:rFonts w:ascii="Times New Roman" w:hAnsi="Times New Roman" w:cs="Times New Roman"/>
          <w:i/>
        </w:rPr>
        <w:t>certi</w:t>
      </w:r>
      <w:r w:rsidR="00984E30" w:rsidRPr="00FF3EF3">
        <w:rPr>
          <w:rFonts w:ascii="Times New Roman" w:hAnsi="Times New Roman" w:cs="Times New Roman"/>
          <w:i/>
        </w:rPr>
        <w:t>fication for at least two of the three years preceding the due date of the property’s summary audit report.</w:t>
      </w:r>
    </w:p>
    <w:p w:rsidR="00081D97" w:rsidRPr="00FF3EF3" w:rsidRDefault="00081D97" w:rsidP="00FF3EF3">
      <w:pPr>
        <w:jc w:val="both"/>
        <w:rPr>
          <w:rFonts w:ascii="Times New Roman" w:hAnsi="Times New Roman" w:cs="Times New Roman"/>
          <w:i/>
        </w:rPr>
      </w:pPr>
    </w:p>
    <w:p w:rsidR="00081D97" w:rsidRPr="00FF3EF3" w:rsidRDefault="00081D97" w:rsidP="00FF3EF3">
      <w:pPr>
        <w:pStyle w:val="ListParagraph"/>
        <w:numPr>
          <w:ilvl w:val="0"/>
          <w:numId w:val="29"/>
        </w:numPr>
        <w:jc w:val="both"/>
        <w:rPr>
          <w:rFonts w:ascii="Times New Roman" w:hAnsi="Times New Roman" w:cs="Times New Roman"/>
          <w:i/>
        </w:rPr>
      </w:pPr>
      <w:r w:rsidRPr="00FF3EF3">
        <w:rPr>
          <w:rFonts w:ascii="Times New Roman" w:hAnsi="Times New Roman" w:cs="Times New Roman"/>
          <w:i/>
        </w:rPr>
        <w:t>For</w:t>
      </w:r>
      <w:r w:rsidR="006D50C5" w:rsidRPr="00FF3EF3">
        <w:rPr>
          <w:rFonts w:ascii="Times New Roman" w:hAnsi="Times New Roman" w:cs="Times New Roman"/>
          <w:i/>
        </w:rPr>
        <w:t xml:space="preserve"> properties qualifying for</w:t>
      </w:r>
      <w:r w:rsidRPr="00FF3EF3">
        <w:rPr>
          <w:rFonts w:ascii="Times New Roman" w:hAnsi="Times New Roman" w:cs="Times New Roman"/>
          <w:i/>
        </w:rPr>
        <w:t xml:space="preserve"> </w:t>
      </w:r>
      <w:r w:rsidR="00EF7015" w:rsidRPr="00FF3EF3">
        <w:rPr>
          <w:rFonts w:ascii="Times New Roman" w:hAnsi="Times New Roman" w:cs="Times New Roman"/>
          <w:i/>
        </w:rPr>
        <w:t>exceptions</w:t>
      </w:r>
      <w:r w:rsidR="006D50C5" w:rsidRPr="00FF3EF3">
        <w:rPr>
          <w:rFonts w:ascii="Times New Roman" w:hAnsi="Times New Roman" w:cs="Times New Roman"/>
          <w:i/>
        </w:rPr>
        <w:t xml:space="preserve"> under Section 8-2227(a)</w:t>
      </w:r>
      <w:r w:rsidRPr="00FF3EF3">
        <w:rPr>
          <w:rFonts w:ascii="Times New Roman" w:hAnsi="Times New Roman" w:cs="Times New Roman"/>
          <w:i/>
        </w:rPr>
        <w:t xml:space="preserve">, the owner shall file documentation, in such form and with such certifications as required by the </w:t>
      </w:r>
      <w:r w:rsidR="00942CB4" w:rsidRPr="00FF3EF3">
        <w:rPr>
          <w:rFonts w:ascii="Times New Roman" w:hAnsi="Times New Roman" w:cs="Times New Roman"/>
          <w:i/>
        </w:rPr>
        <w:t>Department</w:t>
      </w:r>
      <w:r w:rsidR="00FB2263" w:rsidRPr="00FF3EF3">
        <w:rPr>
          <w:rFonts w:ascii="Times New Roman" w:hAnsi="Times New Roman" w:cs="Times New Roman"/>
          <w:i/>
        </w:rPr>
        <w:t>, with the D</w:t>
      </w:r>
      <w:r w:rsidRPr="00FF3EF3">
        <w:rPr>
          <w:rFonts w:ascii="Times New Roman" w:hAnsi="Times New Roman" w:cs="Times New Roman"/>
          <w:i/>
        </w:rPr>
        <w:t>epartment in the year prior to the due date for the summary audit report, establishing that the property qualifies for such an exemption.</w:t>
      </w:r>
    </w:p>
    <w:p w:rsidR="00081D97" w:rsidRPr="00FF3EF3" w:rsidRDefault="00081D97" w:rsidP="00FF3EF3">
      <w:pPr>
        <w:jc w:val="both"/>
        <w:rPr>
          <w:rFonts w:ascii="Times New Roman" w:hAnsi="Times New Roman" w:cs="Times New Roman"/>
        </w:rPr>
      </w:pPr>
    </w:p>
    <w:p w:rsidR="00081D97" w:rsidRPr="00FF3EF3" w:rsidRDefault="006D50C5" w:rsidP="00FF3EF3">
      <w:pPr>
        <w:jc w:val="both"/>
        <w:rPr>
          <w:rFonts w:ascii="Times New Roman" w:hAnsi="Times New Roman" w:cs="Times New Roman"/>
          <w:b/>
        </w:rPr>
      </w:pPr>
      <w:r w:rsidRPr="00FF3EF3">
        <w:rPr>
          <w:rFonts w:ascii="Times New Roman" w:hAnsi="Times New Roman" w:cs="Times New Roman"/>
          <w:i/>
        </w:rPr>
        <w:t>Section 8-2228. – Due Dates for Summary Audit Reports</w:t>
      </w:r>
    </w:p>
    <w:p w:rsidR="00081D97" w:rsidRPr="00FF3EF3" w:rsidRDefault="00081D97" w:rsidP="00FF3EF3">
      <w:pPr>
        <w:jc w:val="both"/>
        <w:rPr>
          <w:rFonts w:ascii="Times New Roman" w:hAnsi="Times New Roman" w:cs="Times New Roman"/>
        </w:rPr>
      </w:pPr>
    </w:p>
    <w:p w:rsidR="00081D97" w:rsidRPr="00FF3EF3" w:rsidRDefault="009601E0" w:rsidP="00FF3EF3">
      <w:pPr>
        <w:pStyle w:val="ListParagraph"/>
        <w:numPr>
          <w:ilvl w:val="0"/>
          <w:numId w:val="18"/>
        </w:numPr>
        <w:jc w:val="both"/>
        <w:rPr>
          <w:rFonts w:ascii="Times New Roman" w:hAnsi="Times New Roman" w:cs="Times New Roman"/>
          <w:i/>
        </w:rPr>
      </w:pPr>
      <w:r w:rsidRPr="00FF3EF3">
        <w:rPr>
          <w:rFonts w:ascii="Times New Roman" w:hAnsi="Times New Roman" w:cs="Times New Roman"/>
          <w:i/>
        </w:rPr>
        <w:t>The owner of a covered property shall file a summary audit report for such property</w:t>
      </w:r>
      <w:r w:rsidR="00081D97" w:rsidRPr="00FF3EF3">
        <w:rPr>
          <w:rFonts w:ascii="Times New Roman" w:hAnsi="Times New Roman" w:cs="Times New Roman"/>
          <w:i/>
        </w:rPr>
        <w:t xml:space="preserve"> eve</w:t>
      </w:r>
      <w:r w:rsidRPr="00FF3EF3">
        <w:rPr>
          <w:rFonts w:ascii="Times New Roman" w:hAnsi="Times New Roman" w:cs="Times New Roman"/>
          <w:i/>
        </w:rPr>
        <w:t>ry ten years</w:t>
      </w:r>
      <w:r w:rsidR="00081D97" w:rsidRPr="00FF3EF3">
        <w:rPr>
          <w:rFonts w:ascii="Times New Roman" w:hAnsi="Times New Roman" w:cs="Times New Roman"/>
          <w:i/>
        </w:rPr>
        <w:t xml:space="preserve">. The first summary audit report for covered properties shall be due, beginning with calendar year 2016, no later than December 31, in the calendar year with a final digit that is the same as the last digit of the property’s </w:t>
      </w:r>
      <w:r w:rsidR="00131CD9" w:rsidRPr="00FF3EF3">
        <w:rPr>
          <w:rFonts w:ascii="Times New Roman" w:hAnsi="Times New Roman" w:cs="Times New Roman"/>
          <w:i/>
        </w:rPr>
        <w:t>Atlanta Building</w:t>
      </w:r>
      <w:r w:rsidR="00081D97" w:rsidRPr="00FF3EF3">
        <w:rPr>
          <w:rFonts w:ascii="Times New Roman" w:hAnsi="Times New Roman" w:cs="Times New Roman"/>
          <w:i/>
        </w:rPr>
        <w:t xml:space="preserve"> identification number, and every tenth calendar year thereafter, as illustrated in the following chart:</w:t>
      </w:r>
    </w:p>
    <w:p w:rsidR="00081D97" w:rsidRPr="00FF3EF3" w:rsidRDefault="00081D97" w:rsidP="00FF3EF3">
      <w:pPr>
        <w:jc w:val="both"/>
        <w:rPr>
          <w:rFonts w:ascii="Times New Roman" w:hAnsi="Times New Roman" w:cs="Times New Roman"/>
          <w:i/>
        </w:rPr>
      </w:pPr>
    </w:p>
    <w:tbl>
      <w:tblPr>
        <w:tblStyle w:val="TableGrid"/>
        <w:tblW w:w="0" w:type="auto"/>
        <w:tblInd w:w="450" w:type="dxa"/>
        <w:tblLayout w:type="fixed"/>
        <w:tblLook w:val="04A0" w:firstRow="1" w:lastRow="0" w:firstColumn="1" w:lastColumn="0" w:noHBand="0" w:noVBand="1"/>
      </w:tblPr>
      <w:tblGrid>
        <w:gridCol w:w="2500"/>
        <w:gridCol w:w="582"/>
        <w:gridCol w:w="582"/>
        <w:gridCol w:w="582"/>
        <w:gridCol w:w="582"/>
        <w:gridCol w:w="582"/>
        <w:gridCol w:w="582"/>
        <w:gridCol w:w="582"/>
        <w:gridCol w:w="582"/>
        <w:gridCol w:w="582"/>
        <w:gridCol w:w="582"/>
      </w:tblGrid>
      <w:tr w:rsidR="00081D97" w:rsidRPr="00FF3EF3" w:rsidTr="00F80993">
        <w:tc>
          <w:tcPr>
            <w:tcW w:w="2500" w:type="dxa"/>
          </w:tcPr>
          <w:p w:rsidR="00081D97" w:rsidRPr="00FF3EF3" w:rsidRDefault="00081D97" w:rsidP="00FF3EF3">
            <w:pPr>
              <w:jc w:val="both"/>
              <w:rPr>
                <w:rFonts w:ascii="Times New Roman" w:hAnsi="Times New Roman"/>
                <w:i/>
              </w:rPr>
            </w:pPr>
            <w:r w:rsidRPr="00FF3EF3">
              <w:rPr>
                <w:rFonts w:ascii="Times New Roman" w:hAnsi="Times New Roman"/>
                <w:i/>
              </w:rPr>
              <w:t xml:space="preserve">Last digit of </w:t>
            </w:r>
            <w:r w:rsidR="00131CD9" w:rsidRPr="00FF3EF3">
              <w:rPr>
                <w:rFonts w:ascii="Times New Roman" w:hAnsi="Times New Roman"/>
                <w:i/>
              </w:rPr>
              <w:t>Atlanta Building</w:t>
            </w:r>
            <w:r w:rsidRPr="00FF3EF3">
              <w:rPr>
                <w:rFonts w:ascii="Times New Roman" w:hAnsi="Times New Roman"/>
                <w:i/>
              </w:rPr>
              <w:t xml:space="preserve"> ID number</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0</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1</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2</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3</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4</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5</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6</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7</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8</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9</w:t>
            </w:r>
          </w:p>
        </w:tc>
      </w:tr>
      <w:tr w:rsidR="00081D97" w:rsidRPr="00FF3EF3" w:rsidTr="00F80993">
        <w:tc>
          <w:tcPr>
            <w:tcW w:w="2500" w:type="dxa"/>
          </w:tcPr>
          <w:p w:rsidR="00081D97" w:rsidRPr="00FF3EF3" w:rsidRDefault="00081D97" w:rsidP="00FF3EF3">
            <w:pPr>
              <w:jc w:val="both"/>
              <w:rPr>
                <w:rFonts w:ascii="Times New Roman" w:hAnsi="Times New Roman"/>
                <w:i/>
              </w:rPr>
            </w:pPr>
            <w:r w:rsidRPr="00FF3EF3">
              <w:rPr>
                <w:rFonts w:ascii="Times New Roman" w:hAnsi="Times New Roman"/>
                <w:i/>
              </w:rPr>
              <w:t>Year first summary audit report is due</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20_0</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20_1</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20_2</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20_3</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20_4</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20_5</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20_6</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20_7</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20_8</w:t>
            </w:r>
          </w:p>
        </w:tc>
        <w:tc>
          <w:tcPr>
            <w:tcW w:w="582" w:type="dxa"/>
          </w:tcPr>
          <w:p w:rsidR="00081D97" w:rsidRPr="00FF3EF3" w:rsidRDefault="00081D97" w:rsidP="00FF3EF3">
            <w:pPr>
              <w:jc w:val="both"/>
              <w:rPr>
                <w:rFonts w:ascii="Times New Roman" w:hAnsi="Times New Roman"/>
                <w:i/>
              </w:rPr>
            </w:pPr>
            <w:r w:rsidRPr="00FF3EF3">
              <w:rPr>
                <w:rFonts w:ascii="Times New Roman" w:hAnsi="Times New Roman"/>
                <w:i/>
              </w:rPr>
              <w:t>20_9</w:t>
            </w:r>
          </w:p>
        </w:tc>
      </w:tr>
    </w:tbl>
    <w:p w:rsidR="00081D97" w:rsidRPr="00FF3EF3" w:rsidRDefault="00081D97" w:rsidP="00FF3EF3">
      <w:pPr>
        <w:jc w:val="both"/>
        <w:rPr>
          <w:rFonts w:ascii="Times New Roman" w:hAnsi="Times New Roman" w:cs="Times New Roman"/>
          <w:i/>
        </w:rPr>
      </w:pPr>
    </w:p>
    <w:p w:rsidR="00081D97" w:rsidRPr="00FF3EF3" w:rsidRDefault="00081D97" w:rsidP="00FF3EF3">
      <w:pPr>
        <w:jc w:val="both"/>
        <w:rPr>
          <w:rFonts w:ascii="Times New Roman" w:hAnsi="Times New Roman" w:cs="Times New Roman"/>
          <w:i/>
        </w:rPr>
      </w:pPr>
      <w:r w:rsidRPr="00FF3EF3">
        <w:rPr>
          <w:rFonts w:ascii="Times New Roman" w:hAnsi="Times New Roman" w:cs="Times New Roman"/>
          <w:i/>
        </w:rPr>
        <w:t>Exceptions:</w:t>
      </w:r>
    </w:p>
    <w:p w:rsidR="00081D97" w:rsidRPr="00FF3EF3" w:rsidRDefault="00081D97" w:rsidP="00FF3EF3">
      <w:pPr>
        <w:numPr>
          <w:ilvl w:val="0"/>
          <w:numId w:val="12"/>
        </w:numPr>
        <w:jc w:val="both"/>
        <w:rPr>
          <w:rFonts w:ascii="Times New Roman" w:hAnsi="Times New Roman" w:cs="Times New Roman"/>
          <w:i/>
        </w:rPr>
      </w:pPr>
      <w:r w:rsidRPr="00FF3EF3">
        <w:rPr>
          <w:rFonts w:ascii="Times New Roman" w:hAnsi="Times New Roman" w:cs="Times New Roman"/>
          <w:i/>
        </w:rPr>
        <w:t>An owner may apply for an extension of time to file a summary audit report if despite such owner’s good faith efforts, to be documented in such application, the owner is unable to complete the required audit prior to the scheduled due date for such report.</w:t>
      </w:r>
      <w:r w:rsidR="00D55112" w:rsidRPr="00FF3EF3">
        <w:rPr>
          <w:rFonts w:ascii="Times New Roman" w:hAnsi="Times New Roman" w:cs="Times New Roman"/>
          <w:i/>
        </w:rPr>
        <w:t xml:space="preserve"> </w:t>
      </w:r>
      <w:r w:rsidRPr="00FF3EF3">
        <w:rPr>
          <w:rFonts w:ascii="Times New Roman" w:hAnsi="Times New Roman" w:cs="Times New Roman"/>
          <w:i/>
        </w:rPr>
        <w:t xml:space="preserve">The </w:t>
      </w:r>
      <w:r w:rsidR="00FB2263" w:rsidRPr="00FF3EF3">
        <w:rPr>
          <w:rFonts w:ascii="Times New Roman" w:hAnsi="Times New Roman" w:cs="Times New Roman"/>
          <w:i/>
        </w:rPr>
        <w:t>Department</w:t>
      </w:r>
      <w:r w:rsidRPr="00FF3EF3">
        <w:rPr>
          <w:rFonts w:ascii="Times New Roman" w:hAnsi="Times New Roman" w:cs="Times New Roman"/>
          <w:i/>
        </w:rPr>
        <w:t xml:space="preserve"> may grant no </w:t>
      </w:r>
      <w:r w:rsidR="00FB2263" w:rsidRPr="00FF3EF3">
        <w:rPr>
          <w:rFonts w:ascii="Times New Roman" w:hAnsi="Times New Roman" w:cs="Times New Roman"/>
          <w:i/>
        </w:rPr>
        <w:t>m</w:t>
      </w:r>
      <w:r w:rsidR="00DE5BD6" w:rsidRPr="00FF3EF3">
        <w:rPr>
          <w:rFonts w:ascii="Times New Roman" w:hAnsi="Times New Roman" w:cs="Times New Roman"/>
          <w:i/>
        </w:rPr>
        <w:t>ore than two such extensions of</w:t>
      </w:r>
      <w:r w:rsidRPr="00FF3EF3">
        <w:rPr>
          <w:rFonts w:ascii="Times New Roman" w:hAnsi="Times New Roman" w:cs="Times New Roman"/>
          <w:i/>
        </w:rPr>
        <w:t xml:space="preserve"> no more than one year each.  Extensions granted pursuant to this provision shall not extend the scheduled due dates for subsequent summary audit reports.</w:t>
      </w:r>
    </w:p>
    <w:p w:rsidR="00081D97" w:rsidRPr="00FF3EF3" w:rsidRDefault="00081D97" w:rsidP="00FF3EF3">
      <w:pPr>
        <w:numPr>
          <w:ilvl w:val="0"/>
          <w:numId w:val="12"/>
        </w:numPr>
        <w:jc w:val="both"/>
        <w:rPr>
          <w:rFonts w:ascii="Times New Roman" w:hAnsi="Times New Roman" w:cs="Times New Roman"/>
          <w:i/>
        </w:rPr>
      </w:pPr>
      <w:r w:rsidRPr="00FF3EF3">
        <w:rPr>
          <w:rFonts w:ascii="Times New Roman" w:hAnsi="Times New Roman" w:cs="Times New Roman"/>
          <w:i/>
        </w:rPr>
        <w:t>An owner may receive annual extensions of time to file a summary audit report based on financial hardship of the property</w:t>
      </w:r>
      <w:r w:rsidR="00725EAD" w:rsidRPr="00FF3EF3">
        <w:rPr>
          <w:rFonts w:ascii="Times New Roman" w:hAnsi="Times New Roman" w:cs="Times New Roman"/>
          <w:i/>
        </w:rPr>
        <w:t>, regardless of building occupancy levels</w:t>
      </w:r>
      <w:r w:rsidRPr="00FF3EF3">
        <w:rPr>
          <w:rFonts w:ascii="Times New Roman" w:hAnsi="Times New Roman" w:cs="Times New Roman"/>
          <w:i/>
        </w:rPr>
        <w:t>.</w:t>
      </w:r>
      <w:r w:rsidR="0083397C" w:rsidRPr="00FF3EF3">
        <w:rPr>
          <w:rFonts w:ascii="Times New Roman" w:hAnsi="Times New Roman" w:cs="Times New Roman"/>
          <w:b/>
          <w:bCs/>
          <w:i/>
          <w:iCs/>
          <w:color w:val="222222"/>
          <w:shd w:val="clear" w:color="auto" w:fill="FFFFFF"/>
        </w:rPr>
        <w:t xml:space="preserve"> </w:t>
      </w:r>
      <w:r w:rsidR="00D55112" w:rsidRPr="00FF3EF3">
        <w:rPr>
          <w:rFonts w:ascii="Times New Roman" w:hAnsi="Times New Roman" w:cs="Times New Roman"/>
          <w:bCs/>
          <w:i/>
          <w:iCs/>
          <w:color w:val="222222"/>
          <w:shd w:val="clear" w:color="auto" w:fill="FFFFFF"/>
        </w:rPr>
        <w:t>P</w:t>
      </w:r>
      <w:r w:rsidR="0083397C" w:rsidRPr="00FF3EF3">
        <w:rPr>
          <w:rFonts w:ascii="Times New Roman" w:hAnsi="Times New Roman" w:cs="Times New Roman"/>
          <w:i/>
        </w:rPr>
        <w:t>roperties with less than 50% of the rentable floor area leased or occupied may apply for an additional annual extension, not to exceed three such extensions. </w:t>
      </w:r>
      <w:r w:rsidR="00D55112" w:rsidRPr="00FF3EF3">
        <w:rPr>
          <w:rFonts w:ascii="Times New Roman" w:hAnsi="Times New Roman" w:cs="Times New Roman"/>
          <w:i/>
        </w:rPr>
        <w:t xml:space="preserve">A substantial decrease in the quantity of </w:t>
      </w:r>
      <w:r w:rsidR="00D7590B" w:rsidRPr="00FF3EF3">
        <w:rPr>
          <w:rFonts w:ascii="Times New Roman" w:hAnsi="Times New Roman" w:cs="Times New Roman"/>
          <w:i/>
        </w:rPr>
        <w:t>no-cost/</w:t>
      </w:r>
      <w:r w:rsidR="00D55112" w:rsidRPr="00FF3EF3">
        <w:rPr>
          <w:rFonts w:ascii="Times New Roman" w:hAnsi="Times New Roman" w:cs="Times New Roman"/>
          <w:i/>
        </w:rPr>
        <w:t>reduced-cost audits</w:t>
      </w:r>
      <w:r w:rsidR="00A8425C" w:rsidRPr="00FF3EF3">
        <w:rPr>
          <w:rFonts w:ascii="Times New Roman" w:hAnsi="Times New Roman" w:cs="Times New Roman"/>
          <w:i/>
        </w:rPr>
        <w:t xml:space="preserve"> available to the market</w:t>
      </w:r>
      <w:r w:rsidR="00D55112" w:rsidRPr="00FF3EF3">
        <w:rPr>
          <w:rFonts w:ascii="Times New Roman" w:hAnsi="Times New Roman" w:cs="Times New Roman"/>
          <w:i/>
        </w:rPr>
        <w:t xml:space="preserve">, as determined by the Department, shall also qualify owners for </w:t>
      </w:r>
      <w:r w:rsidR="00A8425C" w:rsidRPr="00FF3EF3">
        <w:rPr>
          <w:rFonts w:ascii="Times New Roman" w:hAnsi="Times New Roman" w:cs="Times New Roman"/>
          <w:i/>
        </w:rPr>
        <w:t xml:space="preserve">an additional annual extension, not to exceed three such extensions, and to be documented in such application. </w:t>
      </w:r>
      <w:r w:rsidR="0083397C" w:rsidRPr="00FF3EF3">
        <w:rPr>
          <w:rFonts w:ascii="Times New Roman" w:hAnsi="Times New Roman" w:cs="Times New Roman"/>
          <w:i/>
        </w:rPr>
        <w:t>Extensions granted pursuant to this provision shall not extend the scheduled due dates for subsequent summary audit reports.</w:t>
      </w:r>
    </w:p>
    <w:p w:rsidR="007E79A7" w:rsidRPr="00FF3EF3" w:rsidRDefault="007E79A7" w:rsidP="00FF3EF3">
      <w:pPr>
        <w:numPr>
          <w:ilvl w:val="0"/>
          <w:numId w:val="12"/>
        </w:numPr>
        <w:jc w:val="both"/>
        <w:rPr>
          <w:rFonts w:ascii="Times New Roman" w:hAnsi="Times New Roman" w:cs="Times New Roman"/>
          <w:i/>
        </w:rPr>
      </w:pPr>
      <w:r w:rsidRPr="00FF3EF3">
        <w:rPr>
          <w:rFonts w:ascii="Times New Roman" w:hAnsi="Times New Roman" w:cs="Times New Roman"/>
          <w:i/>
        </w:rPr>
        <w:t xml:space="preserve">An owner of a building converted from </w:t>
      </w:r>
      <w:r w:rsidR="0080668A" w:rsidRPr="00FF3EF3">
        <w:rPr>
          <w:rFonts w:ascii="Times New Roman" w:hAnsi="Times New Roman" w:cs="Times New Roman"/>
          <w:i/>
        </w:rPr>
        <w:t>State of Georgia Property Code Class I</w:t>
      </w:r>
      <w:r w:rsidRPr="00FF3EF3">
        <w:rPr>
          <w:rFonts w:ascii="Times New Roman" w:hAnsi="Times New Roman" w:cs="Times New Roman"/>
          <w:i/>
        </w:rPr>
        <w:t xml:space="preserve"> </w:t>
      </w:r>
      <w:r w:rsidR="0080668A" w:rsidRPr="00FF3EF3">
        <w:rPr>
          <w:rFonts w:ascii="Times New Roman" w:hAnsi="Times New Roman" w:cs="Times New Roman"/>
          <w:i/>
        </w:rPr>
        <w:t>to</w:t>
      </w:r>
      <w:r w:rsidRPr="00FF3EF3">
        <w:rPr>
          <w:rFonts w:ascii="Times New Roman" w:hAnsi="Times New Roman" w:cs="Times New Roman"/>
          <w:i/>
        </w:rPr>
        <w:t xml:space="preserve"> Class C</w:t>
      </w:r>
      <w:r w:rsidR="00DF3EF5" w:rsidRPr="00FF3EF3">
        <w:rPr>
          <w:rFonts w:ascii="Times New Roman" w:hAnsi="Times New Roman" w:cs="Times New Roman"/>
          <w:i/>
        </w:rPr>
        <w:t>, E,</w:t>
      </w:r>
      <w:r w:rsidR="0080668A" w:rsidRPr="00FF3EF3">
        <w:rPr>
          <w:rFonts w:ascii="Times New Roman" w:hAnsi="Times New Roman" w:cs="Times New Roman"/>
          <w:i/>
        </w:rPr>
        <w:t xml:space="preserve"> P, or V will receive an Atlanta Building ID number such that the first summary audit report is due no sooner than five years from the year of conversion.</w:t>
      </w:r>
    </w:p>
    <w:p w:rsidR="00081D97" w:rsidRPr="00FF3EF3" w:rsidRDefault="00B1220B" w:rsidP="00FF3EF3">
      <w:pPr>
        <w:numPr>
          <w:ilvl w:val="0"/>
          <w:numId w:val="12"/>
        </w:numPr>
        <w:jc w:val="both"/>
        <w:rPr>
          <w:rFonts w:ascii="Times New Roman" w:hAnsi="Times New Roman" w:cs="Times New Roman"/>
          <w:i/>
        </w:rPr>
      </w:pPr>
      <w:r w:rsidRPr="00FF3EF3">
        <w:rPr>
          <w:rFonts w:ascii="Times New Roman" w:hAnsi="Times New Roman" w:cs="Times New Roman"/>
          <w:i/>
        </w:rPr>
        <w:lastRenderedPageBreak/>
        <w:t xml:space="preserve">Other due date exceptions pursuant to </w:t>
      </w:r>
      <w:r w:rsidR="00DE7D71" w:rsidRPr="00FF3EF3">
        <w:rPr>
          <w:rFonts w:ascii="Times New Roman" w:hAnsi="Times New Roman" w:cs="Times New Roman"/>
          <w:i/>
        </w:rPr>
        <w:t xml:space="preserve">Section </w:t>
      </w:r>
      <w:r w:rsidR="006D50C5" w:rsidRPr="00FF3EF3">
        <w:rPr>
          <w:rFonts w:ascii="Times New Roman" w:hAnsi="Times New Roman" w:cs="Times New Roman"/>
          <w:i/>
        </w:rPr>
        <w:t>8-223</w:t>
      </w:r>
      <w:r w:rsidR="00B903CD" w:rsidRPr="00FF3EF3">
        <w:rPr>
          <w:rFonts w:ascii="Times New Roman" w:hAnsi="Times New Roman" w:cs="Times New Roman"/>
          <w:i/>
        </w:rPr>
        <w:t>1</w:t>
      </w:r>
      <w:r w:rsidR="00081D97" w:rsidRPr="00FF3EF3">
        <w:rPr>
          <w:rFonts w:ascii="Times New Roman" w:hAnsi="Times New Roman" w:cs="Times New Roman"/>
          <w:i/>
        </w:rPr>
        <w:t>.</w:t>
      </w:r>
    </w:p>
    <w:p w:rsidR="00194F31" w:rsidRPr="00FF3EF3" w:rsidRDefault="00194F31" w:rsidP="00FF3EF3">
      <w:pPr>
        <w:jc w:val="both"/>
        <w:rPr>
          <w:rFonts w:ascii="Times New Roman" w:hAnsi="Times New Roman" w:cs="Times New Roman"/>
          <w:i/>
        </w:rPr>
      </w:pPr>
    </w:p>
    <w:p w:rsidR="00081D97" w:rsidRPr="00FF3EF3" w:rsidRDefault="00081D97" w:rsidP="00FF3EF3">
      <w:pPr>
        <w:pStyle w:val="ListParagraph"/>
        <w:numPr>
          <w:ilvl w:val="0"/>
          <w:numId w:val="18"/>
        </w:numPr>
        <w:jc w:val="both"/>
        <w:rPr>
          <w:rFonts w:ascii="Times New Roman" w:hAnsi="Times New Roman" w:cs="Times New Roman"/>
          <w:i/>
        </w:rPr>
      </w:pPr>
      <w:r w:rsidRPr="00FF3EF3">
        <w:rPr>
          <w:rFonts w:ascii="Times New Roman" w:hAnsi="Times New Roman" w:cs="Times New Roman"/>
          <w:i/>
        </w:rPr>
        <w:t xml:space="preserve">Owners of covered non-city properties that are less than 10 years old when the first summary audit report would otherwise be due, or that have undergone substantial </w:t>
      </w:r>
      <w:r w:rsidR="00B1220B" w:rsidRPr="00FF3EF3">
        <w:rPr>
          <w:rFonts w:ascii="Times New Roman" w:hAnsi="Times New Roman" w:cs="Times New Roman"/>
          <w:i/>
        </w:rPr>
        <w:t>improvements</w:t>
      </w:r>
      <w:r w:rsidRPr="00FF3EF3">
        <w:rPr>
          <w:rFonts w:ascii="Times New Roman" w:hAnsi="Times New Roman" w:cs="Times New Roman"/>
          <w:i/>
        </w:rPr>
        <w:t>, as certified by a registered design professional,</w:t>
      </w:r>
      <w:r w:rsidR="00DE7D71" w:rsidRPr="00FF3EF3">
        <w:rPr>
          <w:rFonts w:ascii="Times New Roman" w:hAnsi="Times New Roman" w:cs="Times New Roman"/>
          <w:i/>
        </w:rPr>
        <w:t xml:space="preserve"> and in which base building systems of such property were commissioned upon installation,</w:t>
      </w:r>
      <w:r w:rsidRPr="00FF3EF3">
        <w:rPr>
          <w:rFonts w:ascii="Times New Roman" w:hAnsi="Times New Roman" w:cs="Times New Roman"/>
          <w:i/>
        </w:rPr>
        <w:t xml:space="preserve"> within the 10 year period prior to any calendar year in which a summary audit report is due, such that at the commencement of such calendar year all of the base building systems of such property</w:t>
      </w:r>
      <w:r w:rsidR="00DF1752" w:rsidRPr="00FF3EF3">
        <w:rPr>
          <w:rFonts w:ascii="Times New Roman" w:hAnsi="Times New Roman" w:cs="Times New Roman"/>
          <w:i/>
        </w:rPr>
        <w:t xml:space="preserve"> </w:t>
      </w:r>
      <w:r w:rsidRPr="00FF3EF3">
        <w:rPr>
          <w:rFonts w:ascii="Times New Roman" w:hAnsi="Times New Roman" w:cs="Times New Roman"/>
          <w:i/>
        </w:rPr>
        <w:t xml:space="preserve">are in compliance with the </w:t>
      </w:r>
      <w:r w:rsidR="00942CB4" w:rsidRPr="00FF3EF3">
        <w:rPr>
          <w:rFonts w:ascii="Times New Roman" w:hAnsi="Times New Roman" w:cs="Times New Roman"/>
          <w:i/>
        </w:rPr>
        <w:t>city</w:t>
      </w:r>
      <w:r w:rsidRPr="00FF3EF3">
        <w:rPr>
          <w:rFonts w:ascii="Times New Roman" w:hAnsi="Times New Roman" w:cs="Times New Roman"/>
          <w:i/>
        </w:rPr>
        <w:t xml:space="preserve"> energy code in existence at the time this ordinance takes effect</w:t>
      </w:r>
      <w:r w:rsidR="00DE5BD6" w:rsidRPr="00FF3EF3">
        <w:rPr>
          <w:rFonts w:ascii="Times New Roman" w:hAnsi="Times New Roman" w:cs="Times New Roman"/>
          <w:i/>
        </w:rPr>
        <w:t xml:space="preserve"> (see City of Atlanta Code of Ordinances Part III, </w:t>
      </w:r>
      <w:r w:rsidR="002E729D" w:rsidRPr="00FF3EF3">
        <w:rPr>
          <w:rFonts w:ascii="Times New Roman" w:hAnsi="Times New Roman" w:cs="Times New Roman"/>
          <w:i/>
        </w:rPr>
        <w:t>Section 8-2 and associated a</w:t>
      </w:r>
      <w:r w:rsidR="00DE5BD6" w:rsidRPr="00FF3EF3">
        <w:rPr>
          <w:rFonts w:ascii="Times New Roman" w:hAnsi="Times New Roman" w:cs="Times New Roman"/>
          <w:i/>
        </w:rPr>
        <w:t>ppendi</w:t>
      </w:r>
      <w:r w:rsidR="002E729D" w:rsidRPr="00FF3EF3">
        <w:rPr>
          <w:rFonts w:ascii="Times New Roman" w:hAnsi="Times New Roman" w:cs="Times New Roman"/>
          <w:i/>
        </w:rPr>
        <w:t>ces</w:t>
      </w:r>
      <w:r w:rsidR="00DE5BD6" w:rsidRPr="00FF3EF3">
        <w:rPr>
          <w:rFonts w:ascii="Times New Roman" w:hAnsi="Times New Roman" w:cs="Times New Roman"/>
          <w:i/>
        </w:rPr>
        <w:t>)</w:t>
      </w:r>
      <w:r w:rsidRPr="00FF3EF3">
        <w:rPr>
          <w:rFonts w:ascii="Times New Roman" w:hAnsi="Times New Roman" w:cs="Times New Roman"/>
          <w:i/>
        </w:rPr>
        <w:t xml:space="preserve">, may defer submitting a summary audit report for such property until the tenth calendar year after such assigned calendar year.  </w:t>
      </w:r>
      <w:r w:rsidR="00657CA4" w:rsidRPr="00FF3EF3">
        <w:rPr>
          <w:rFonts w:ascii="Times New Roman" w:hAnsi="Times New Roman" w:cs="Times New Roman"/>
          <w:i/>
        </w:rPr>
        <w:br/>
      </w:r>
    </w:p>
    <w:p w:rsidR="00657CA4" w:rsidRPr="00FF3EF3" w:rsidRDefault="00657CA4" w:rsidP="00FF3EF3">
      <w:pPr>
        <w:pStyle w:val="ListParagraph"/>
        <w:numPr>
          <w:ilvl w:val="0"/>
          <w:numId w:val="18"/>
        </w:numPr>
        <w:jc w:val="both"/>
        <w:rPr>
          <w:rFonts w:ascii="Times New Roman" w:hAnsi="Times New Roman" w:cs="Times New Roman"/>
          <w:i/>
        </w:rPr>
      </w:pPr>
      <w:r w:rsidRPr="00FF3EF3">
        <w:rPr>
          <w:rFonts w:ascii="Times New Roman" w:hAnsi="Times New Roman" w:cs="Times New Roman"/>
          <w:i/>
        </w:rPr>
        <w:t>A randomly-selected subset of audit reports</w:t>
      </w:r>
      <w:r w:rsidR="0064023B" w:rsidRPr="00FF3EF3">
        <w:rPr>
          <w:rFonts w:ascii="Times New Roman" w:hAnsi="Times New Roman" w:cs="Times New Roman"/>
          <w:i/>
        </w:rPr>
        <w:t xml:space="preserve"> n</w:t>
      </w:r>
      <w:r w:rsidRPr="00FF3EF3">
        <w:rPr>
          <w:rFonts w:ascii="Times New Roman" w:hAnsi="Times New Roman" w:cs="Times New Roman"/>
          <w:i/>
        </w:rPr>
        <w:t xml:space="preserve">ot to exceed 10% of the total audit reports completed in a given year may </w:t>
      </w:r>
      <w:r w:rsidR="00205360" w:rsidRPr="00FF3EF3">
        <w:rPr>
          <w:rFonts w:ascii="Times New Roman" w:hAnsi="Times New Roman" w:cs="Times New Roman"/>
          <w:i/>
        </w:rPr>
        <w:t>be subject to third-party review of report documents</w:t>
      </w:r>
      <w:r w:rsidRPr="00FF3EF3">
        <w:rPr>
          <w:rFonts w:ascii="Times New Roman" w:hAnsi="Times New Roman" w:cs="Times New Roman"/>
          <w:i/>
        </w:rPr>
        <w:t>.</w:t>
      </w:r>
      <w:r w:rsidR="00F316AF" w:rsidRPr="00FF3EF3">
        <w:rPr>
          <w:rFonts w:ascii="Times New Roman" w:hAnsi="Times New Roman" w:cs="Times New Roman"/>
          <w:i/>
        </w:rPr>
        <w:t xml:space="preserve"> Such reviews shall be conducted in a way so as to preserve the anonymity of individual properties and shall be conducted at no cost to the property owner.</w:t>
      </w:r>
    </w:p>
    <w:p w:rsidR="00081D97" w:rsidRPr="00FF3EF3" w:rsidRDefault="00081D97" w:rsidP="00FF3EF3">
      <w:pPr>
        <w:jc w:val="both"/>
        <w:rPr>
          <w:rFonts w:ascii="Times New Roman" w:hAnsi="Times New Roman" w:cs="Times New Roman"/>
        </w:rPr>
      </w:pPr>
    </w:p>
    <w:p w:rsidR="00081D97" w:rsidRPr="00FF3EF3" w:rsidRDefault="002E729D" w:rsidP="00FF3EF3">
      <w:pPr>
        <w:jc w:val="both"/>
        <w:rPr>
          <w:rFonts w:ascii="Times New Roman" w:hAnsi="Times New Roman" w:cs="Times New Roman"/>
          <w:b/>
        </w:rPr>
      </w:pPr>
      <w:r w:rsidRPr="00FF3EF3">
        <w:rPr>
          <w:rFonts w:ascii="Times New Roman" w:hAnsi="Times New Roman" w:cs="Times New Roman"/>
          <w:i/>
        </w:rPr>
        <w:t>Section 8-2229. – Retro-commissioning</w:t>
      </w:r>
      <w:r w:rsidR="00BC3535" w:rsidRPr="00FF3EF3">
        <w:rPr>
          <w:rFonts w:ascii="Times New Roman" w:hAnsi="Times New Roman" w:cs="Times New Roman"/>
          <w:i/>
        </w:rPr>
        <w:t xml:space="preserve"> Optional</w:t>
      </w:r>
      <w:r w:rsidRPr="00FF3EF3">
        <w:rPr>
          <w:rFonts w:ascii="Times New Roman" w:hAnsi="Times New Roman" w:cs="Times New Roman"/>
          <w:i/>
        </w:rPr>
        <w:t>.</w:t>
      </w:r>
    </w:p>
    <w:p w:rsidR="00081D97" w:rsidRPr="00FF3EF3" w:rsidRDefault="00081D97" w:rsidP="00FF3EF3">
      <w:pPr>
        <w:jc w:val="both"/>
        <w:rPr>
          <w:rFonts w:ascii="Times New Roman" w:hAnsi="Times New Roman" w:cs="Times New Roman"/>
          <w:b/>
        </w:rPr>
      </w:pPr>
    </w:p>
    <w:p w:rsidR="00BC3535" w:rsidRPr="00FF3EF3" w:rsidRDefault="00F316AF" w:rsidP="00FF3EF3">
      <w:pPr>
        <w:pStyle w:val="ListParagraph"/>
        <w:numPr>
          <w:ilvl w:val="0"/>
          <w:numId w:val="19"/>
        </w:numPr>
        <w:jc w:val="both"/>
        <w:rPr>
          <w:rFonts w:ascii="Times New Roman" w:hAnsi="Times New Roman" w:cs="Times New Roman"/>
          <w:i/>
        </w:rPr>
      </w:pPr>
      <w:r w:rsidRPr="00FF3EF3">
        <w:rPr>
          <w:rFonts w:ascii="Times New Roman" w:hAnsi="Times New Roman" w:cs="Times New Roman"/>
          <w:i/>
        </w:rPr>
        <w:t>This section is currently</w:t>
      </w:r>
      <w:r w:rsidR="00AE1A6D" w:rsidRPr="00FF3EF3">
        <w:rPr>
          <w:rFonts w:ascii="Times New Roman" w:hAnsi="Times New Roman" w:cs="Times New Roman"/>
          <w:i/>
        </w:rPr>
        <w:t xml:space="preserve"> optional. Owners electing to comply with this section should adhere to the following requirements. Retro-commissioning, proven to be a key component of a comprehensive energy policy, may be revisited at a future date. </w:t>
      </w:r>
      <w:r w:rsidR="00BC3535" w:rsidRPr="00FF3EF3">
        <w:rPr>
          <w:rFonts w:ascii="Times New Roman" w:hAnsi="Times New Roman" w:cs="Times New Roman"/>
          <w:i/>
        </w:rPr>
        <w:t xml:space="preserve">The owner of a covered property shall ensure that retro-commissioning is performed on the base building systems of such property prior to filing a summary retro-commissioning report. Retro-commissioning shall be performed by or under the supervision of a retro-commissioning professional in accordance with </w:t>
      </w:r>
      <w:r w:rsidR="003E7880" w:rsidRPr="00FF3EF3">
        <w:rPr>
          <w:rFonts w:ascii="Times New Roman" w:hAnsi="Times New Roman" w:cs="Times New Roman"/>
          <w:i/>
        </w:rPr>
        <w:t xml:space="preserve">the </w:t>
      </w:r>
      <w:r w:rsidR="00BC3535" w:rsidRPr="00FF3EF3">
        <w:rPr>
          <w:rFonts w:ascii="Times New Roman" w:hAnsi="Times New Roman" w:cs="Times New Roman"/>
          <w:i/>
        </w:rPr>
        <w:t xml:space="preserve">rules </w:t>
      </w:r>
      <w:r w:rsidR="003E7880" w:rsidRPr="00FF3EF3">
        <w:rPr>
          <w:rFonts w:ascii="Times New Roman" w:hAnsi="Times New Roman" w:cs="Times New Roman"/>
          <w:i/>
        </w:rPr>
        <w:t>in this section</w:t>
      </w:r>
      <w:r w:rsidR="00BC3535" w:rsidRPr="00FF3EF3">
        <w:rPr>
          <w:rFonts w:ascii="Times New Roman" w:hAnsi="Times New Roman" w:cs="Times New Roman"/>
          <w:i/>
        </w:rPr>
        <w:t xml:space="preserve">. Such rules, at a minimum, shall ensure that sufficient analysis, corrections and testing have been done so that the base building systems </w:t>
      </w:r>
      <w:r w:rsidR="003A43E1" w:rsidRPr="00FF3EF3">
        <w:rPr>
          <w:rFonts w:ascii="Times New Roman" w:hAnsi="Times New Roman" w:cs="Times New Roman"/>
          <w:i/>
        </w:rPr>
        <w:t>achieve optimal performance</w:t>
      </w:r>
      <w:r w:rsidR="00BC3535" w:rsidRPr="00FF3EF3">
        <w:rPr>
          <w:rFonts w:ascii="Times New Roman" w:hAnsi="Times New Roman" w:cs="Times New Roman"/>
          <w:i/>
        </w:rPr>
        <w:t>.</w:t>
      </w:r>
    </w:p>
    <w:p w:rsidR="00BC3535" w:rsidRPr="00FF3EF3" w:rsidRDefault="00BC3535" w:rsidP="00FF3EF3">
      <w:pPr>
        <w:jc w:val="both"/>
        <w:rPr>
          <w:rFonts w:ascii="Times New Roman" w:hAnsi="Times New Roman" w:cs="Times New Roman"/>
          <w:b/>
          <w:bCs/>
          <w:i/>
        </w:rPr>
      </w:pPr>
    </w:p>
    <w:p w:rsidR="00BC3535" w:rsidRPr="00FF3EF3" w:rsidRDefault="00BC3535" w:rsidP="00FF3EF3">
      <w:pPr>
        <w:jc w:val="both"/>
        <w:rPr>
          <w:rFonts w:ascii="Times New Roman" w:hAnsi="Times New Roman" w:cs="Times New Roman"/>
          <w:b/>
          <w:bCs/>
          <w:i/>
        </w:rPr>
      </w:pPr>
      <w:r w:rsidRPr="00FF3EF3">
        <w:rPr>
          <w:rFonts w:ascii="Times New Roman" w:hAnsi="Times New Roman" w:cs="Times New Roman"/>
          <w:bCs/>
          <w:i/>
        </w:rPr>
        <w:t>Exceptions:</w:t>
      </w:r>
    </w:p>
    <w:p w:rsidR="00BC3535" w:rsidRPr="00FF3EF3" w:rsidRDefault="00BC3535" w:rsidP="00FF3EF3">
      <w:pPr>
        <w:numPr>
          <w:ilvl w:val="0"/>
          <w:numId w:val="16"/>
        </w:numPr>
        <w:jc w:val="both"/>
        <w:rPr>
          <w:rFonts w:ascii="Times New Roman" w:hAnsi="Times New Roman" w:cs="Times New Roman"/>
          <w:i/>
        </w:rPr>
      </w:pPr>
      <w:r w:rsidRPr="00FF3EF3">
        <w:rPr>
          <w:rFonts w:ascii="Times New Roman" w:hAnsi="Times New Roman" w:cs="Times New Roman"/>
          <w:i/>
        </w:rPr>
        <w:t>Retro-commissioning is not required if the owner demonstrates that a property qualifies for one or more exceptions under Section 8-2222(b).</w:t>
      </w:r>
    </w:p>
    <w:p w:rsidR="00BC3535" w:rsidRPr="00FF3EF3" w:rsidRDefault="00BC3535" w:rsidP="00FF3EF3">
      <w:pPr>
        <w:numPr>
          <w:ilvl w:val="0"/>
          <w:numId w:val="16"/>
        </w:numPr>
        <w:jc w:val="both"/>
        <w:rPr>
          <w:rFonts w:ascii="Times New Roman" w:hAnsi="Times New Roman" w:cs="Times New Roman"/>
          <w:i/>
        </w:rPr>
      </w:pPr>
      <w:r w:rsidRPr="00FF3EF3">
        <w:rPr>
          <w:rFonts w:ascii="Times New Roman" w:hAnsi="Times New Roman" w:cs="Times New Roman"/>
          <w:i/>
        </w:rPr>
        <w:t>Retro-commissioning is not required if the covered property has received an EPA Energy Star certification from the EPA for at least two of the three years preceding the due date of the property’s summary retro-commissioning report.</w:t>
      </w:r>
    </w:p>
    <w:p w:rsidR="00BC3535" w:rsidRPr="00FF3EF3" w:rsidRDefault="00BC3535" w:rsidP="00FF3EF3">
      <w:pPr>
        <w:numPr>
          <w:ilvl w:val="0"/>
          <w:numId w:val="16"/>
        </w:numPr>
        <w:jc w:val="both"/>
        <w:rPr>
          <w:rFonts w:ascii="Times New Roman" w:hAnsi="Times New Roman" w:cs="Times New Roman"/>
          <w:i/>
        </w:rPr>
      </w:pPr>
      <w:r w:rsidRPr="00FF3EF3">
        <w:rPr>
          <w:rFonts w:ascii="Times New Roman" w:hAnsi="Times New Roman" w:cs="Times New Roman"/>
          <w:i/>
        </w:rPr>
        <w:t xml:space="preserve">Retro-commissioning is not required if there is no EPA Energy Star rating for the building type and a registered design professional submits documentation, as specified in rules promulgated by the Department, that the property’s energy performance is 25 or more percentage points better than the performance of an average building of its type over a two-year period within the three-year period prior to the due date for the property’s summary retro-commissioning report consistent with the methodology of the most recent </w:t>
      </w:r>
      <w:r w:rsidR="00682E1B" w:rsidRPr="00FF3EF3">
        <w:rPr>
          <w:rFonts w:ascii="Times New Roman" w:hAnsi="Times New Roman" w:cs="Times New Roman"/>
          <w:i/>
        </w:rPr>
        <w:t xml:space="preserve">Leadership in Energy and Environmental Design (LEED) for Existing </w:t>
      </w:r>
      <w:r w:rsidR="00682E1B" w:rsidRPr="00FF3EF3">
        <w:rPr>
          <w:rFonts w:ascii="Times New Roman" w:hAnsi="Times New Roman" w:cs="Times New Roman"/>
          <w:i/>
        </w:rPr>
        <w:lastRenderedPageBreak/>
        <w:t xml:space="preserve">Buildings: Operation and Maintenance </w:t>
      </w:r>
      <w:r w:rsidRPr="00FF3EF3">
        <w:rPr>
          <w:rFonts w:ascii="Times New Roman" w:hAnsi="Times New Roman" w:cs="Times New Roman"/>
          <w:i/>
        </w:rPr>
        <w:t>rating system published by the United States Green Building Council (USGBC) or other rating system or methodology for existing buildings, as determined by the Department.</w:t>
      </w:r>
    </w:p>
    <w:p w:rsidR="00BC3535" w:rsidRPr="00FF3EF3" w:rsidRDefault="00BC3535" w:rsidP="00FF3EF3">
      <w:pPr>
        <w:numPr>
          <w:ilvl w:val="0"/>
          <w:numId w:val="16"/>
        </w:numPr>
        <w:jc w:val="both"/>
        <w:rPr>
          <w:rFonts w:ascii="Times New Roman" w:hAnsi="Times New Roman" w:cs="Times New Roman"/>
          <w:i/>
        </w:rPr>
      </w:pPr>
      <w:r w:rsidRPr="00FF3EF3">
        <w:rPr>
          <w:rFonts w:ascii="Times New Roman" w:hAnsi="Times New Roman" w:cs="Times New Roman"/>
          <w:i/>
        </w:rPr>
        <w:t xml:space="preserve">Retro-commissioning is not required if the covered property has received certification under the most recent </w:t>
      </w:r>
      <w:r w:rsidR="00682E1B" w:rsidRPr="00FF3EF3">
        <w:rPr>
          <w:rFonts w:ascii="Times New Roman" w:hAnsi="Times New Roman" w:cs="Times New Roman"/>
          <w:i/>
        </w:rPr>
        <w:t>Leadership in Energy and Environmental Design (LEED) for Existing Buildings: Operation and Maintenance</w:t>
      </w:r>
      <w:r w:rsidRPr="00FF3EF3">
        <w:rPr>
          <w:rFonts w:ascii="Times New Roman" w:hAnsi="Times New Roman" w:cs="Times New Roman"/>
          <w:i/>
        </w:rPr>
        <w:t xml:space="preserve"> rating system published by the USGBC or other rating system for existing buildings, as determined by the Department, within two years prior to the filing of the property’s summary retro-commissioning report and earned the LEED point for Existing Building Commissioning investigation and analysis and the LEED point for Existing Building Commissioning implementation.</w:t>
      </w:r>
    </w:p>
    <w:p w:rsidR="00BC3535" w:rsidRPr="00FF3EF3" w:rsidRDefault="00BC3535" w:rsidP="00FF3EF3">
      <w:pPr>
        <w:numPr>
          <w:ilvl w:val="0"/>
          <w:numId w:val="16"/>
        </w:numPr>
        <w:jc w:val="both"/>
        <w:rPr>
          <w:rFonts w:ascii="Times New Roman" w:hAnsi="Times New Roman" w:cs="Times New Roman"/>
          <w:i/>
        </w:rPr>
      </w:pPr>
      <w:r w:rsidRPr="00FF3EF3">
        <w:rPr>
          <w:rFonts w:ascii="Times New Roman" w:hAnsi="Times New Roman" w:cs="Times New Roman"/>
          <w:i/>
        </w:rPr>
        <w:t xml:space="preserve">Retro-commissioning is not required if the covered property is subject to </w:t>
      </w:r>
      <w:r w:rsidR="00F01193" w:rsidRPr="00FF3EF3">
        <w:rPr>
          <w:rFonts w:ascii="Times New Roman" w:hAnsi="Times New Roman" w:cs="Times New Roman"/>
          <w:i/>
        </w:rPr>
        <w:t>ongoing</w:t>
      </w:r>
      <w:r w:rsidRPr="00FF3EF3">
        <w:rPr>
          <w:rFonts w:ascii="Times New Roman" w:hAnsi="Times New Roman" w:cs="Times New Roman"/>
          <w:i/>
        </w:rPr>
        <w:t xml:space="preserve"> commissioning, provided the property owner attests to compliance with all criteria set forth in the rules promulgated by the Department. </w:t>
      </w:r>
      <w:r w:rsidR="00F01193" w:rsidRPr="00FF3EF3">
        <w:rPr>
          <w:rFonts w:ascii="Times New Roman" w:hAnsi="Times New Roman" w:cs="Times New Roman"/>
          <w:i/>
        </w:rPr>
        <w:t>Ongoing</w:t>
      </w:r>
      <w:r w:rsidRPr="00FF3EF3">
        <w:rPr>
          <w:rFonts w:ascii="Times New Roman" w:hAnsi="Times New Roman" w:cs="Times New Roman"/>
          <w:i/>
        </w:rPr>
        <w:t xml:space="preserve"> commissioning may be performed by qualified on-site staff, so long as other compliance criteria are met.</w:t>
      </w:r>
    </w:p>
    <w:p w:rsidR="00BC3535" w:rsidRPr="00FF3EF3" w:rsidRDefault="00BC3535" w:rsidP="00FF3EF3">
      <w:pPr>
        <w:numPr>
          <w:ilvl w:val="0"/>
          <w:numId w:val="16"/>
        </w:numPr>
        <w:jc w:val="both"/>
        <w:rPr>
          <w:rFonts w:ascii="Times New Roman" w:hAnsi="Times New Roman" w:cs="Times New Roman"/>
          <w:i/>
        </w:rPr>
      </w:pPr>
      <w:r w:rsidRPr="00FF3EF3">
        <w:rPr>
          <w:rFonts w:ascii="Times New Roman" w:hAnsi="Times New Roman" w:cs="Times New Roman"/>
          <w:i/>
        </w:rPr>
        <w:t>Retro-commissioning is not required for properties with less than 50% of the rentable floor area leased or occupied.</w:t>
      </w:r>
    </w:p>
    <w:p w:rsidR="00BC3535" w:rsidRPr="00FF3EF3" w:rsidRDefault="00BC3535" w:rsidP="00FF3EF3">
      <w:pPr>
        <w:numPr>
          <w:ilvl w:val="0"/>
          <w:numId w:val="16"/>
        </w:numPr>
        <w:jc w:val="both"/>
        <w:rPr>
          <w:rFonts w:ascii="Times New Roman" w:hAnsi="Times New Roman" w:cs="Times New Roman"/>
          <w:i/>
        </w:rPr>
      </w:pPr>
      <w:r w:rsidRPr="00FF3EF3">
        <w:rPr>
          <w:rFonts w:ascii="Times New Roman" w:hAnsi="Times New Roman" w:cs="Times New Roman"/>
          <w:i/>
        </w:rPr>
        <w:t>A retro-commissioning measure is not required if such retro-commissioning measure would necessitate a building permit other than an electrical permit.</w:t>
      </w:r>
    </w:p>
    <w:p w:rsidR="00BC3535" w:rsidRPr="00FF3EF3" w:rsidRDefault="00BC3535" w:rsidP="00FF3EF3">
      <w:pPr>
        <w:numPr>
          <w:ilvl w:val="0"/>
          <w:numId w:val="16"/>
        </w:numPr>
        <w:jc w:val="both"/>
        <w:rPr>
          <w:rFonts w:ascii="Times New Roman" w:hAnsi="Times New Roman" w:cs="Times New Roman"/>
          <w:i/>
        </w:rPr>
      </w:pPr>
      <w:r w:rsidRPr="00FF3EF3">
        <w:rPr>
          <w:rFonts w:ascii="Times New Roman" w:hAnsi="Times New Roman" w:cs="Times New Roman"/>
          <w:i/>
        </w:rPr>
        <w:t>A retro-commissioning measure is not required if such retro-commissioning measure would result in a simple payback of more than 2 years.</w:t>
      </w:r>
    </w:p>
    <w:p w:rsidR="00BC3535" w:rsidRPr="00FF3EF3" w:rsidRDefault="00BC3535" w:rsidP="00FF3EF3">
      <w:pPr>
        <w:jc w:val="both"/>
        <w:rPr>
          <w:rFonts w:ascii="Times New Roman" w:hAnsi="Times New Roman" w:cs="Times New Roman"/>
          <w:i/>
        </w:rPr>
      </w:pPr>
    </w:p>
    <w:p w:rsidR="00BC3535" w:rsidRPr="00FF3EF3" w:rsidRDefault="00BC3535" w:rsidP="00FF3EF3">
      <w:pPr>
        <w:jc w:val="both"/>
        <w:rPr>
          <w:rFonts w:ascii="Times New Roman" w:hAnsi="Times New Roman" w:cs="Times New Roman"/>
          <w:i/>
        </w:rPr>
      </w:pPr>
      <w:r w:rsidRPr="00FF3EF3">
        <w:rPr>
          <w:rFonts w:ascii="Times New Roman" w:hAnsi="Times New Roman" w:cs="Times New Roman"/>
          <w:i/>
        </w:rPr>
        <w:t xml:space="preserve">For properties qualifying for </w:t>
      </w:r>
      <w:r w:rsidR="00A16DAF" w:rsidRPr="00FF3EF3">
        <w:rPr>
          <w:rFonts w:ascii="Times New Roman" w:hAnsi="Times New Roman" w:cs="Times New Roman"/>
          <w:i/>
        </w:rPr>
        <w:t>exceptions</w:t>
      </w:r>
      <w:r w:rsidR="00B43806" w:rsidRPr="00FF3EF3">
        <w:rPr>
          <w:rFonts w:ascii="Times New Roman" w:hAnsi="Times New Roman" w:cs="Times New Roman"/>
          <w:i/>
        </w:rPr>
        <w:t xml:space="preserve"> in Section 8-2229(a)</w:t>
      </w:r>
      <w:r w:rsidR="00436DF6" w:rsidRPr="00FF3EF3">
        <w:rPr>
          <w:rFonts w:ascii="Times New Roman" w:hAnsi="Times New Roman" w:cs="Times New Roman"/>
          <w:i/>
        </w:rPr>
        <w:t>(1) through (a)(6</w:t>
      </w:r>
      <w:r w:rsidRPr="00FF3EF3">
        <w:rPr>
          <w:rFonts w:ascii="Times New Roman" w:hAnsi="Times New Roman" w:cs="Times New Roman"/>
          <w:i/>
        </w:rPr>
        <w:t>), the owner shall file documentation, in such form and with such certifications as required by the Department, with the Department in the year prior to the due date for the summary retro-commissioning report, establishing that the property qualifies for such an exemption.</w:t>
      </w:r>
    </w:p>
    <w:p w:rsidR="00BC3535" w:rsidRPr="00FF3EF3" w:rsidRDefault="00BC3535" w:rsidP="00FF3EF3">
      <w:pPr>
        <w:jc w:val="both"/>
        <w:rPr>
          <w:rFonts w:ascii="Times New Roman" w:hAnsi="Times New Roman" w:cs="Times New Roman"/>
          <w:i/>
        </w:rPr>
      </w:pPr>
    </w:p>
    <w:p w:rsidR="00BC3535" w:rsidRPr="00FF3EF3" w:rsidRDefault="003E7880" w:rsidP="00FF3EF3">
      <w:pPr>
        <w:pStyle w:val="ListParagraph"/>
        <w:numPr>
          <w:ilvl w:val="0"/>
          <w:numId w:val="36"/>
        </w:numPr>
        <w:jc w:val="both"/>
        <w:rPr>
          <w:rFonts w:ascii="Times New Roman" w:hAnsi="Times New Roman" w:cs="Times New Roman"/>
          <w:i/>
        </w:rPr>
      </w:pPr>
      <w:r w:rsidRPr="00FF3EF3">
        <w:rPr>
          <w:rFonts w:ascii="Times New Roman" w:hAnsi="Times New Roman" w:cs="Times New Roman"/>
          <w:i/>
        </w:rPr>
        <w:t>The retro-commissioning rules ensure that the base building systems have undergone sufficient analysis, corrections and testing to meet the following criteria demonstrating efficient operation.</w:t>
      </w:r>
    </w:p>
    <w:p w:rsidR="003E7880" w:rsidRPr="00FF3EF3" w:rsidRDefault="003E7880" w:rsidP="00FF3EF3">
      <w:pPr>
        <w:pStyle w:val="ListParagraph"/>
        <w:numPr>
          <w:ilvl w:val="3"/>
          <w:numId w:val="36"/>
        </w:numPr>
        <w:jc w:val="both"/>
        <w:rPr>
          <w:rFonts w:ascii="Times New Roman" w:hAnsi="Times New Roman" w:cs="Times New Roman"/>
          <w:i/>
        </w:rPr>
      </w:pPr>
      <w:r w:rsidRPr="00FF3EF3">
        <w:rPr>
          <w:rFonts w:ascii="Times New Roman" w:hAnsi="Times New Roman" w:cs="Times New Roman"/>
          <w:i/>
        </w:rPr>
        <w:t>Operating protocols, calibration, and sequencing:</w:t>
      </w:r>
    </w:p>
    <w:p w:rsidR="003E7880" w:rsidRPr="00FF3EF3" w:rsidRDefault="003E7880"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HVAC temperature and humidity set points and setbacks are appropriate and operating schedules reflect major space occupancy patterns and the current facility requirements</w:t>
      </w:r>
    </w:p>
    <w:p w:rsidR="003E7880" w:rsidRPr="00FF3EF3" w:rsidRDefault="003E7880"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 xml:space="preserve">HVAC sensors are </w:t>
      </w:r>
      <w:r w:rsidR="0012380D" w:rsidRPr="00FF3EF3">
        <w:rPr>
          <w:rFonts w:ascii="Times New Roman" w:hAnsi="Times New Roman" w:cs="Times New Roman"/>
          <w:i/>
        </w:rPr>
        <w:t>properly calibrated for current facility requirements</w:t>
      </w:r>
    </w:p>
    <w:p w:rsidR="0012380D" w:rsidRPr="00FF3EF3" w:rsidRDefault="0012380D"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HVAC controls are functioning and control sequences are appropriate for current facility requirements</w:t>
      </w:r>
    </w:p>
    <w:p w:rsidR="0012380D" w:rsidRPr="00FF3EF3" w:rsidRDefault="0012380D"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Loads are distributed equally across equipment when appropriate (i.e., fans, boilers, pumps, etc., that run in parallel)</w:t>
      </w:r>
    </w:p>
    <w:p w:rsidR="0012380D" w:rsidRPr="00FF3EF3" w:rsidRDefault="0012380D"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Minimum ventilation rates are appropriate for current facility requirements</w:t>
      </w:r>
    </w:p>
    <w:p w:rsidR="0012380D" w:rsidRPr="00FF3EF3" w:rsidRDefault="0012380D"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System automatic reset functions are functioning appropriately, if applicable</w:t>
      </w:r>
    </w:p>
    <w:p w:rsidR="0012380D" w:rsidRPr="00FF3EF3" w:rsidRDefault="0012380D"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lastRenderedPageBreak/>
        <w:t>Static pressure controls are appropriate set, if applicable</w:t>
      </w:r>
    </w:p>
    <w:p w:rsidR="0012380D" w:rsidRPr="00FF3EF3" w:rsidRDefault="0012380D"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System pressure controls are appropriately optimized, if applicable</w:t>
      </w:r>
    </w:p>
    <w:p w:rsidR="0012380D" w:rsidRPr="00FF3EF3" w:rsidRDefault="0012380D"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Adjustments have been made to compensate for oversized or undersized equipment so that said equipment is functioning as efficiently as possible</w:t>
      </w:r>
      <w:r w:rsidR="008B443B" w:rsidRPr="00FF3EF3">
        <w:rPr>
          <w:rFonts w:ascii="Times New Roman" w:hAnsi="Times New Roman" w:cs="Times New Roman"/>
          <w:i/>
        </w:rPr>
        <w:t>,</w:t>
      </w:r>
      <w:r w:rsidR="001656A5" w:rsidRPr="00FF3EF3">
        <w:rPr>
          <w:rFonts w:ascii="Times New Roman" w:hAnsi="Times New Roman" w:cs="Times New Roman"/>
          <w:i/>
        </w:rPr>
        <w:t xml:space="preserve"> ensuring that overheating or overcooling does not occur</w:t>
      </w:r>
      <w:r w:rsidR="008B443B" w:rsidRPr="00FF3EF3">
        <w:rPr>
          <w:rFonts w:ascii="Times New Roman" w:hAnsi="Times New Roman" w:cs="Times New Roman"/>
          <w:i/>
        </w:rPr>
        <w:t xml:space="preserve"> and that minimum variable air volume positions are appropriately set, if applicable</w:t>
      </w:r>
    </w:p>
    <w:p w:rsidR="0012380D" w:rsidRPr="00FF3EF3" w:rsidRDefault="001656A5"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HVAC system economizer controls are properly functioning, if applicable</w:t>
      </w:r>
    </w:p>
    <w:p w:rsidR="001656A5" w:rsidRPr="00FF3EF3" w:rsidRDefault="008B443B"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HVAC distribution systems, both air and water, are verified as appropriately balanced, with the exception of tenant-owned systems</w:t>
      </w:r>
    </w:p>
    <w:p w:rsidR="008B443B" w:rsidRPr="00FF3EF3" w:rsidRDefault="008B443B"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Exhaust ventilation systems do not have leakage gaps at the connection to the intake registers or at the connections to the roof exhaust vents</w:t>
      </w:r>
    </w:p>
    <w:p w:rsidR="008B443B" w:rsidRPr="00FF3EF3" w:rsidRDefault="008B443B"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Lighting sensors and controls are functioning properly according to occupancy, schedule, and/or available daylight, where applicable</w:t>
      </w:r>
    </w:p>
    <w:p w:rsidR="008B443B" w:rsidRPr="00FF3EF3" w:rsidRDefault="008B443B"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Domestic hot water systems have been checked to ensure proper temperature settings</w:t>
      </w:r>
    </w:p>
    <w:p w:rsidR="008B443B" w:rsidRPr="00FF3EF3" w:rsidRDefault="008B443B"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Domestic water pumps are functioning as designed</w:t>
      </w:r>
    </w:p>
    <w:p w:rsidR="008B443B" w:rsidRPr="00FF3EF3" w:rsidRDefault="008B443B"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System and fixture water leaks have been identified and repaired</w:t>
      </w:r>
    </w:p>
    <w:p w:rsidR="008B443B" w:rsidRPr="00FF3EF3" w:rsidRDefault="008B443B" w:rsidP="00FF3EF3">
      <w:pPr>
        <w:pStyle w:val="ListParagraph"/>
        <w:numPr>
          <w:ilvl w:val="3"/>
          <w:numId w:val="36"/>
        </w:numPr>
        <w:jc w:val="both"/>
        <w:rPr>
          <w:rFonts w:ascii="Times New Roman" w:hAnsi="Times New Roman" w:cs="Times New Roman"/>
          <w:i/>
        </w:rPr>
      </w:pPr>
      <w:r w:rsidRPr="00FF3EF3">
        <w:rPr>
          <w:rFonts w:ascii="Times New Roman" w:hAnsi="Times New Roman" w:cs="Times New Roman"/>
          <w:i/>
        </w:rPr>
        <w:t>Maintenance:</w:t>
      </w:r>
    </w:p>
    <w:p w:rsidR="008B443B" w:rsidRPr="00FF3EF3" w:rsidRDefault="008B443B"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Review and comment on routine maintenance practices</w:t>
      </w:r>
    </w:p>
    <w:p w:rsidR="008B443B" w:rsidRPr="00FF3EF3" w:rsidRDefault="008B443B" w:rsidP="00FF3EF3">
      <w:pPr>
        <w:pStyle w:val="ListParagraph"/>
        <w:numPr>
          <w:ilvl w:val="3"/>
          <w:numId w:val="36"/>
        </w:numPr>
        <w:jc w:val="both"/>
        <w:rPr>
          <w:rFonts w:ascii="Times New Roman" w:hAnsi="Times New Roman" w:cs="Times New Roman"/>
          <w:i/>
        </w:rPr>
      </w:pPr>
      <w:r w:rsidRPr="00FF3EF3">
        <w:rPr>
          <w:rFonts w:ascii="Times New Roman" w:hAnsi="Times New Roman" w:cs="Times New Roman"/>
          <w:i/>
        </w:rPr>
        <w:t>Training and documentation:</w:t>
      </w:r>
    </w:p>
    <w:p w:rsidR="008B443B" w:rsidRPr="00FF3EF3" w:rsidRDefault="008B443B"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Critical operations and maintenance staff receive or confirm appropriate training during the commissioning effort on all major equipment and systems and general energy and water conservation techniques</w:t>
      </w:r>
    </w:p>
    <w:p w:rsidR="008B443B" w:rsidRPr="00FF3EF3" w:rsidRDefault="008B443B"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Operational and maintenance record keeping procedures (log books, computer maintenance records, facility manuals, etc.) have been implemented</w:t>
      </w:r>
    </w:p>
    <w:p w:rsidR="008B443B" w:rsidRPr="00FF3EF3" w:rsidRDefault="008B443B" w:rsidP="00FF3EF3">
      <w:pPr>
        <w:pStyle w:val="ListParagraph"/>
        <w:numPr>
          <w:ilvl w:val="4"/>
          <w:numId w:val="36"/>
        </w:numPr>
        <w:jc w:val="both"/>
        <w:rPr>
          <w:rFonts w:ascii="Times New Roman" w:hAnsi="Times New Roman" w:cs="Times New Roman"/>
          <w:i/>
        </w:rPr>
      </w:pPr>
      <w:r w:rsidRPr="00FF3EF3">
        <w:rPr>
          <w:rFonts w:ascii="Times New Roman" w:hAnsi="Times New Roman" w:cs="Times New Roman"/>
          <w:i/>
        </w:rPr>
        <w:t>The following documentation is on-site and accessible to the operators: the operations and maintenance manuals, if such manuals are still available from the manufacturer; the maintenance contracts, and; the most recent retro-commissioning report.</w:t>
      </w:r>
    </w:p>
    <w:p w:rsidR="0012380D" w:rsidRPr="00FF3EF3" w:rsidRDefault="0012380D" w:rsidP="00FF3EF3">
      <w:pPr>
        <w:jc w:val="both"/>
        <w:rPr>
          <w:rFonts w:ascii="Times New Roman" w:hAnsi="Times New Roman" w:cs="Times New Roman"/>
          <w:i/>
        </w:rPr>
      </w:pPr>
    </w:p>
    <w:p w:rsidR="00BC3535" w:rsidRPr="00FF3EF3" w:rsidRDefault="00BC3535" w:rsidP="00FF3EF3">
      <w:pPr>
        <w:jc w:val="both"/>
        <w:rPr>
          <w:rFonts w:ascii="Times New Roman" w:hAnsi="Times New Roman" w:cs="Times New Roman"/>
          <w:b/>
        </w:rPr>
      </w:pPr>
      <w:r w:rsidRPr="00FF3EF3">
        <w:rPr>
          <w:rFonts w:ascii="Times New Roman" w:hAnsi="Times New Roman" w:cs="Times New Roman"/>
          <w:i/>
        </w:rPr>
        <w:t>Section 8-2230. – Due Dates for Summary Retro-commissioning Reports.</w:t>
      </w:r>
    </w:p>
    <w:p w:rsidR="00BC3535" w:rsidRPr="00FF3EF3" w:rsidRDefault="00BC3535" w:rsidP="00FF3EF3">
      <w:pPr>
        <w:jc w:val="both"/>
        <w:rPr>
          <w:rFonts w:ascii="Times New Roman" w:hAnsi="Times New Roman" w:cs="Times New Roman"/>
        </w:rPr>
      </w:pPr>
    </w:p>
    <w:p w:rsidR="00BC3535" w:rsidRPr="00FF3EF3" w:rsidRDefault="00F316AF" w:rsidP="00FF3EF3">
      <w:pPr>
        <w:pStyle w:val="ListParagraph"/>
        <w:numPr>
          <w:ilvl w:val="0"/>
          <w:numId w:val="20"/>
        </w:numPr>
        <w:jc w:val="both"/>
        <w:rPr>
          <w:rFonts w:ascii="Times New Roman" w:hAnsi="Times New Roman" w:cs="Times New Roman"/>
          <w:i/>
        </w:rPr>
      </w:pPr>
      <w:r w:rsidRPr="00FF3EF3">
        <w:rPr>
          <w:rFonts w:ascii="Times New Roman" w:hAnsi="Times New Roman" w:cs="Times New Roman"/>
          <w:i/>
        </w:rPr>
        <w:t>This section is currently</w:t>
      </w:r>
      <w:r w:rsidR="00AE1A6D" w:rsidRPr="00FF3EF3">
        <w:rPr>
          <w:rFonts w:ascii="Times New Roman" w:hAnsi="Times New Roman" w:cs="Times New Roman"/>
          <w:i/>
        </w:rPr>
        <w:t xml:space="preserve"> optional. Owners electing to comply with this section should adhere to the following requirements. Retro-commissioning, proven to be a key component of a comprehensive energy policy, may be revisited at a future date. </w:t>
      </w:r>
      <w:r w:rsidR="00BC3535" w:rsidRPr="00FF3EF3">
        <w:rPr>
          <w:rFonts w:ascii="Times New Roman" w:hAnsi="Times New Roman" w:cs="Times New Roman"/>
          <w:i/>
        </w:rPr>
        <w:t xml:space="preserve">The owner of a covered property shall file a summary retro-commissioning report for such property every ten years. The first summary retro-commissioning report for covered properties shall be due, beginning with calendar year 2016, no later than </w:t>
      </w:r>
      <w:r w:rsidR="00BC3535" w:rsidRPr="00FF3EF3">
        <w:rPr>
          <w:rFonts w:ascii="Times New Roman" w:hAnsi="Times New Roman" w:cs="Times New Roman"/>
          <w:i/>
        </w:rPr>
        <w:lastRenderedPageBreak/>
        <w:t>December 31, in the calendar year with a final digit that is the same as the last digit of the property’s Atlanta Building identification number, and every tenth calendar year thereafter, as illustrated in the following chart:</w:t>
      </w:r>
    </w:p>
    <w:p w:rsidR="00BC3535" w:rsidRPr="00FF3EF3" w:rsidRDefault="00BC3535" w:rsidP="00FF3EF3">
      <w:pPr>
        <w:pStyle w:val="ListParagraph"/>
        <w:ind w:left="1090"/>
        <w:jc w:val="both"/>
        <w:rPr>
          <w:rFonts w:ascii="Times New Roman" w:hAnsi="Times New Roman" w:cs="Times New Roman"/>
          <w:i/>
        </w:rPr>
      </w:pPr>
    </w:p>
    <w:p w:rsidR="00BC3535" w:rsidRPr="00FF3EF3" w:rsidRDefault="00BC3535" w:rsidP="00FF3EF3">
      <w:pPr>
        <w:jc w:val="both"/>
        <w:rPr>
          <w:rFonts w:ascii="Times New Roman" w:hAnsi="Times New Roman" w:cs="Times New Roman"/>
          <w:i/>
        </w:rPr>
      </w:pPr>
    </w:p>
    <w:tbl>
      <w:tblPr>
        <w:tblStyle w:val="TableGrid"/>
        <w:tblW w:w="5000" w:type="pct"/>
        <w:tblLook w:val="04A0" w:firstRow="1" w:lastRow="0" w:firstColumn="1" w:lastColumn="0" w:noHBand="0" w:noVBand="1"/>
      </w:tblPr>
      <w:tblGrid>
        <w:gridCol w:w="1869"/>
        <w:gridCol w:w="723"/>
        <w:gridCol w:w="696"/>
        <w:gridCol w:w="696"/>
        <w:gridCol w:w="696"/>
        <w:gridCol w:w="696"/>
        <w:gridCol w:w="696"/>
        <w:gridCol w:w="696"/>
        <w:gridCol w:w="696"/>
        <w:gridCol w:w="696"/>
        <w:gridCol w:w="696"/>
      </w:tblGrid>
      <w:tr w:rsidR="00BC3535" w:rsidRPr="00FF3EF3" w:rsidTr="00576C1C">
        <w:tc>
          <w:tcPr>
            <w:tcW w:w="1082" w:type="pct"/>
          </w:tcPr>
          <w:p w:rsidR="00BC3535" w:rsidRPr="00FF3EF3" w:rsidRDefault="00BC3535" w:rsidP="00FF3EF3">
            <w:pPr>
              <w:jc w:val="both"/>
              <w:rPr>
                <w:rFonts w:ascii="Times New Roman" w:hAnsi="Times New Roman"/>
                <w:i/>
              </w:rPr>
            </w:pPr>
            <w:r w:rsidRPr="00FF3EF3">
              <w:rPr>
                <w:rFonts w:ascii="Times New Roman" w:hAnsi="Times New Roman"/>
                <w:i/>
              </w:rPr>
              <w:t>Last digit of Atlanta Building ID number</w:t>
            </w:r>
          </w:p>
        </w:tc>
        <w:tc>
          <w:tcPr>
            <w:tcW w:w="435" w:type="pct"/>
          </w:tcPr>
          <w:p w:rsidR="00BC3535" w:rsidRPr="00FF3EF3" w:rsidRDefault="00BC3535" w:rsidP="00FF3EF3">
            <w:pPr>
              <w:jc w:val="both"/>
              <w:rPr>
                <w:rFonts w:ascii="Times New Roman" w:hAnsi="Times New Roman"/>
                <w:i/>
              </w:rPr>
            </w:pPr>
            <w:r w:rsidRPr="00FF3EF3">
              <w:rPr>
                <w:rFonts w:ascii="Times New Roman" w:hAnsi="Times New Roman"/>
                <w:i/>
              </w:rPr>
              <w:t>0</w:t>
            </w:r>
          </w:p>
        </w:tc>
        <w:tc>
          <w:tcPr>
            <w:tcW w:w="366" w:type="pct"/>
          </w:tcPr>
          <w:p w:rsidR="00BC3535" w:rsidRPr="00FF3EF3" w:rsidRDefault="00BC3535" w:rsidP="00FF3EF3">
            <w:pPr>
              <w:jc w:val="both"/>
              <w:rPr>
                <w:rFonts w:ascii="Times New Roman" w:hAnsi="Times New Roman"/>
                <w:i/>
              </w:rPr>
            </w:pPr>
            <w:r w:rsidRPr="00FF3EF3">
              <w:rPr>
                <w:rFonts w:ascii="Times New Roman" w:hAnsi="Times New Roman"/>
                <w:i/>
              </w:rPr>
              <w:t>1</w:t>
            </w:r>
          </w:p>
        </w:tc>
        <w:tc>
          <w:tcPr>
            <w:tcW w:w="397" w:type="pct"/>
          </w:tcPr>
          <w:p w:rsidR="00BC3535" w:rsidRPr="00FF3EF3" w:rsidRDefault="00BC3535" w:rsidP="00FF3EF3">
            <w:pPr>
              <w:jc w:val="both"/>
              <w:rPr>
                <w:rFonts w:ascii="Times New Roman" w:hAnsi="Times New Roman"/>
                <w:i/>
              </w:rPr>
            </w:pPr>
            <w:r w:rsidRPr="00FF3EF3">
              <w:rPr>
                <w:rFonts w:ascii="Times New Roman" w:hAnsi="Times New Roman"/>
                <w:i/>
              </w:rPr>
              <w:t>2</w:t>
            </w:r>
          </w:p>
        </w:tc>
        <w:tc>
          <w:tcPr>
            <w:tcW w:w="397" w:type="pct"/>
          </w:tcPr>
          <w:p w:rsidR="00BC3535" w:rsidRPr="00FF3EF3" w:rsidRDefault="00BC3535" w:rsidP="00FF3EF3">
            <w:pPr>
              <w:jc w:val="both"/>
              <w:rPr>
                <w:rFonts w:ascii="Times New Roman" w:hAnsi="Times New Roman"/>
                <w:i/>
              </w:rPr>
            </w:pPr>
            <w:r w:rsidRPr="00FF3EF3">
              <w:rPr>
                <w:rFonts w:ascii="Times New Roman" w:hAnsi="Times New Roman"/>
                <w:i/>
              </w:rPr>
              <w:t>3</w:t>
            </w:r>
          </w:p>
        </w:tc>
        <w:tc>
          <w:tcPr>
            <w:tcW w:w="397" w:type="pct"/>
          </w:tcPr>
          <w:p w:rsidR="00BC3535" w:rsidRPr="00FF3EF3" w:rsidRDefault="00BC3535" w:rsidP="00FF3EF3">
            <w:pPr>
              <w:jc w:val="both"/>
              <w:rPr>
                <w:rFonts w:ascii="Times New Roman" w:hAnsi="Times New Roman"/>
                <w:i/>
              </w:rPr>
            </w:pPr>
            <w:r w:rsidRPr="00FF3EF3">
              <w:rPr>
                <w:rFonts w:ascii="Times New Roman" w:hAnsi="Times New Roman"/>
                <w:i/>
              </w:rPr>
              <w:t>4</w:t>
            </w:r>
          </w:p>
        </w:tc>
        <w:tc>
          <w:tcPr>
            <w:tcW w:w="397" w:type="pct"/>
          </w:tcPr>
          <w:p w:rsidR="00BC3535" w:rsidRPr="00FF3EF3" w:rsidRDefault="00BC3535" w:rsidP="00FF3EF3">
            <w:pPr>
              <w:jc w:val="both"/>
              <w:rPr>
                <w:rFonts w:ascii="Times New Roman" w:hAnsi="Times New Roman"/>
                <w:i/>
              </w:rPr>
            </w:pPr>
            <w:r w:rsidRPr="00FF3EF3">
              <w:rPr>
                <w:rFonts w:ascii="Times New Roman" w:hAnsi="Times New Roman"/>
                <w:i/>
              </w:rPr>
              <w:t>5</w:t>
            </w:r>
          </w:p>
        </w:tc>
        <w:tc>
          <w:tcPr>
            <w:tcW w:w="366" w:type="pct"/>
          </w:tcPr>
          <w:p w:rsidR="00BC3535" w:rsidRPr="00FF3EF3" w:rsidRDefault="00BC3535" w:rsidP="00FF3EF3">
            <w:pPr>
              <w:jc w:val="both"/>
              <w:rPr>
                <w:rFonts w:ascii="Times New Roman" w:hAnsi="Times New Roman"/>
                <w:i/>
              </w:rPr>
            </w:pPr>
            <w:r w:rsidRPr="00FF3EF3">
              <w:rPr>
                <w:rFonts w:ascii="Times New Roman" w:hAnsi="Times New Roman"/>
                <w:i/>
              </w:rPr>
              <w:t>6</w:t>
            </w:r>
          </w:p>
        </w:tc>
        <w:tc>
          <w:tcPr>
            <w:tcW w:w="366" w:type="pct"/>
          </w:tcPr>
          <w:p w:rsidR="00BC3535" w:rsidRPr="00FF3EF3" w:rsidRDefault="00BC3535" w:rsidP="00FF3EF3">
            <w:pPr>
              <w:jc w:val="both"/>
              <w:rPr>
                <w:rFonts w:ascii="Times New Roman" w:hAnsi="Times New Roman"/>
                <w:i/>
              </w:rPr>
            </w:pPr>
            <w:r w:rsidRPr="00FF3EF3">
              <w:rPr>
                <w:rFonts w:ascii="Times New Roman" w:hAnsi="Times New Roman"/>
                <w:i/>
              </w:rPr>
              <w:t>7</w:t>
            </w:r>
          </w:p>
        </w:tc>
        <w:tc>
          <w:tcPr>
            <w:tcW w:w="405" w:type="pct"/>
          </w:tcPr>
          <w:p w:rsidR="00BC3535" w:rsidRPr="00FF3EF3" w:rsidRDefault="00BC3535" w:rsidP="00FF3EF3">
            <w:pPr>
              <w:jc w:val="both"/>
              <w:rPr>
                <w:rFonts w:ascii="Times New Roman" w:hAnsi="Times New Roman"/>
                <w:i/>
              </w:rPr>
            </w:pPr>
            <w:r w:rsidRPr="00FF3EF3">
              <w:rPr>
                <w:rFonts w:ascii="Times New Roman" w:hAnsi="Times New Roman"/>
                <w:i/>
              </w:rPr>
              <w:t>8</w:t>
            </w:r>
          </w:p>
        </w:tc>
        <w:tc>
          <w:tcPr>
            <w:tcW w:w="390" w:type="pct"/>
          </w:tcPr>
          <w:p w:rsidR="00BC3535" w:rsidRPr="00FF3EF3" w:rsidRDefault="00BC3535" w:rsidP="00FF3EF3">
            <w:pPr>
              <w:jc w:val="both"/>
              <w:rPr>
                <w:rFonts w:ascii="Times New Roman" w:hAnsi="Times New Roman"/>
                <w:i/>
              </w:rPr>
            </w:pPr>
            <w:r w:rsidRPr="00FF3EF3">
              <w:rPr>
                <w:rFonts w:ascii="Times New Roman" w:hAnsi="Times New Roman"/>
                <w:i/>
              </w:rPr>
              <w:t>9</w:t>
            </w:r>
          </w:p>
        </w:tc>
      </w:tr>
      <w:tr w:rsidR="00BC3535" w:rsidRPr="00FF3EF3" w:rsidTr="00576C1C">
        <w:tc>
          <w:tcPr>
            <w:tcW w:w="1082" w:type="pct"/>
          </w:tcPr>
          <w:p w:rsidR="00BC3535" w:rsidRPr="00FF3EF3" w:rsidRDefault="00BC3535" w:rsidP="00FF3EF3">
            <w:pPr>
              <w:jc w:val="both"/>
              <w:rPr>
                <w:rFonts w:ascii="Times New Roman" w:hAnsi="Times New Roman"/>
                <w:i/>
              </w:rPr>
            </w:pPr>
            <w:r w:rsidRPr="00FF3EF3">
              <w:rPr>
                <w:rFonts w:ascii="Times New Roman" w:hAnsi="Times New Roman"/>
                <w:i/>
              </w:rPr>
              <w:t>Year first summary retro-commissioning report is due</w:t>
            </w:r>
          </w:p>
        </w:tc>
        <w:tc>
          <w:tcPr>
            <w:tcW w:w="435" w:type="pct"/>
          </w:tcPr>
          <w:p w:rsidR="00BC3535" w:rsidRPr="00FF3EF3" w:rsidRDefault="00BC3535" w:rsidP="00FF3EF3">
            <w:pPr>
              <w:jc w:val="both"/>
              <w:rPr>
                <w:rFonts w:ascii="Times New Roman" w:hAnsi="Times New Roman"/>
                <w:i/>
              </w:rPr>
            </w:pPr>
            <w:r w:rsidRPr="00FF3EF3">
              <w:rPr>
                <w:rFonts w:ascii="Times New Roman" w:hAnsi="Times New Roman"/>
                <w:i/>
              </w:rPr>
              <w:t>20_0</w:t>
            </w:r>
          </w:p>
        </w:tc>
        <w:tc>
          <w:tcPr>
            <w:tcW w:w="366" w:type="pct"/>
          </w:tcPr>
          <w:p w:rsidR="00BC3535" w:rsidRPr="00FF3EF3" w:rsidRDefault="00BC3535" w:rsidP="00FF3EF3">
            <w:pPr>
              <w:jc w:val="both"/>
              <w:rPr>
                <w:rFonts w:ascii="Times New Roman" w:hAnsi="Times New Roman"/>
                <w:i/>
              </w:rPr>
            </w:pPr>
            <w:r w:rsidRPr="00FF3EF3">
              <w:rPr>
                <w:rFonts w:ascii="Times New Roman" w:hAnsi="Times New Roman"/>
                <w:i/>
              </w:rPr>
              <w:t>20_1</w:t>
            </w:r>
          </w:p>
        </w:tc>
        <w:tc>
          <w:tcPr>
            <w:tcW w:w="397" w:type="pct"/>
          </w:tcPr>
          <w:p w:rsidR="00BC3535" w:rsidRPr="00FF3EF3" w:rsidRDefault="00BC3535" w:rsidP="00FF3EF3">
            <w:pPr>
              <w:jc w:val="both"/>
              <w:rPr>
                <w:rFonts w:ascii="Times New Roman" w:hAnsi="Times New Roman"/>
                <w:i/>
              </w:rPr>
            </w:pPr>
            <w:r w:rsidRPr="00FF3EF3">
              <w:rPr>
                <w:rFonts w:ascii="Times New Roman" w:hAnsi="Times New Roman"/>
                <w:i/>
              </w:rPr>
              <w:t>20_2</w:t>
            </w:r>
          </w:p>
        </w:tc>
        <w:tc>
          <w:tcPr>
            <w:tcW w:w="397" w:type="pct"/>
          </w:tcPr>
          <w:p w:rsidR="00BC3535" w:rsidRPr="00FF3EF3" w:rsidRDefault="00BC3535" w:rsidP="00FF3EF3">
            <w:pPr>
              <w:jc w:val="both"/>
              <w:rPr>
                <w:rFonts w:ascii="Times New Roman" w:hAnsi="Times New Roman"/>
                <w:i/>
              </w:rPr>
            </w:pPr>
            <w:r w:rsidRPr="00FF3EF3">
              <w:rPr>
                <w:rFonts w:ascii="Times New Roman" w:hAnsi="Times New Roman"/>
                <w:i/>
              </w:rPr>
              <w:t>20_3</w:t>
            </w:r>
          </w:p>
        </w:tc>
        <w:tc>
          <w:tcPr>
            <w:tcW w:w="397" w:type="pct"/>
          </w:tcPr>
          <w:p w:rsidR="00BC3535" w:rsidRPr="00FF3EF3" w:rsidRDefault="00BC3535" w:rsidP="00FF3EF3">
            <w:pPr>
              <w:jc w:val="both"/>
              <w:rPr>
                <w:rFonts w:ascii="Times New Roman" w:hAnsi="Times New Roman"/>
                <w:i/>
              </w:rPr>
            </w:pPr>
            <w:r w:rsidRPr="00FF3EF3">
              <w:rPr>
                <w:rFonts w:ascii="Times New Roman" w:hAnsi="Times New Roman"/>
                <w:i/>
              </w:rPr>
              <w:t>20_4</w:t>
            </w:r>
          </w:p>
        </w:tc>
        <w:tc>
          <w:tcPr>
            <w:tcW w:w="397" w:type="pct"/>
          </w:tcPr>
          <w:p w:rsidR="00BC3535" w:rsidRPr="00FF3EF3" w:rsidRDefault="00BC3535" w:rsidP="00FF3EF3">
            <w:pPr>
              <w:jc w:val="both"/>
              <w:rPr>
                <w:rFonts w:ascii="Times New Roman" w:hAnsi="Times New Roman"/>
                <w:i/>
              </w:rPr>
            </w:pPr>
            <w:r w:rsidRPr="00FF3EF3">
              <w:rPr>
                <w:rFonts w:ascii="Times New Roman" w:hAnsi="Times New Roman"/>
                <w:i/>
              </w:rPr>
              <w:t>20_5</w:t>
            </w:r>
          </w:p>
        </w:tc>
        <w:tc>
          <w:tcPr>
            <w:tcW w:w="366" w:type="pct"/>
          </w:tcPr>
          <w:p w:rsidR="00BC3535" w:rsidRPr="00FF3EF3" w:rsidRDefault="00BC3535" w:rsidP="00FF3EF3">
            <w:pPr>
              <w:jc w:val="both"/>
              <w:rPr>
                <w:rFonts w:ascii="Times New Roman" w:hAnsi="Times New Roman"/>
                <w:i/>
              </w:rPr>
            </w:pPr>
            <w:r w:rsidRPr="00FF3EF3">
              <w:rPr>
                <w:rFonts w:ascii="Times New Roman" w:hAnsi="Times New Roman"/>
                <w:i/>
              </w:rPr>
              <w:t>20_6</w:t>
            </w:r>
          </w:p>
        </w:tc>
        <w:tc>
          <w:tcPr>
            <w:tcW w:w="366" w:type="pct"/>
          </w:tcPr>
          <w:p w:rsidR="00BC3535" w:rsidRPr="00FF3EF3" w:rsidRDefault="00BC3535" w:rsidP="00FF3EF3">
            <w:pPr>
              <w:jc w:val="both"/>
              <w:rPr>
                <w:rFonts w:ascii="Times New Roman" w:hAnsi="Times New Roman"/>
                <w:i/>
              </w:rPr>
            </w:pPr>
            <w:r w:rsidRPr="00FF3EF3">
              <w:rPr>
                <w:rFonts w:ascii="Times New Roman" w:hAnsi="Times New Roman"/>
                <w:i/>
              </w:rPr>
              <w:t>20_7</w:t>
            </w:r>
          </w:p>
        </w:tc>
        <w:tc>
          <w:tcPr>
            <w:tcW w:w="405" w:type="pct"/>
          </w:tcPr>
          <w:p w:rsidR="00BC3535" w:rsidRPr="00FF3EF3" w:rsidRDefault="00BC3535" w:rsidP="00FF3EF3">
            <w:pPr>
              <w:jc w:val="both"/>
              <w:rPr>
                <w:rFonts w:ascii="Times New Roman" w:hAnsi="Times New Roman"/>
                <w:i/>
              </w:rPr>
            </w:pPr>
            <w:r w:rsidRPr="00FF3EF3">
              <w:rPr>
                <w:rFonts w:ascii="Times New Roman" w:hAnsi="Times New Roman"/>
                <w:i/>
              </w:rPr>
              <w:t>20_8</w:t>
            </w:r>
          </w:p>
        </w:tc>
        <w:tc>
          <w:tcPr>
            <w:tcW w:w="390" w:type="pct"/>
          </w:tcPr>
          <w:p w:rsidR="00BC3535" w:rsidRPr="00FF3EF3" w:rsidRDefault="00BC3535" w:rsidP="00FF3EF3">
            <w:pPr>
              <w:jc w:val="both"/>
              <w:rPr>
                <w:rFonts w:ascii="Times New Roman" w:hAnsi="Times New Roman"/>
                <w:i/>
              </w:rPr>
            </w:pPr>
            <w:r w:rsidRPr="00FF3EF3">
              <w:rPr>
                <w:rFonts w:ascii="Times New Roman" w:hAnsi="Times New Roman"/>
                <w:i/>
              </w:rPr>
              <w:t>20_9</w:t>
            </w:r>
          </w:p>
        </w:tc>
      </w:tr>
    </w:tbl>
    <w:p w:rsidR="00BC3535" w:rsidRPr="00FF3EF3" w:rsidRDefault="00BC3535" w:rsidP="00FF3EF3">
      <w:pPr>
        <w:jc w:val="both"/>
        <w:rPr>
          <w:rFonts w:ascii="Times New Roman" w:hAnsi="Times New Roman" w:cs="Times New Roman"/>
          <w:i/>
        </w:rPr>
      </w:pPr>
    </w:p>
    <w:p w:rsidR="00BC3535" w:rsidRPr="00FF3EF3" w:rsidRDefault="00BC3535" w:rsidP="00FF3EF3">
      <w:pPr>
        <w:jc w:val="both"/>
        <w:rPr>
          <w:rFonts w:ascii="Times New Roman" w:hAnsi="Times New Roman" w:cs="Times New Roman"/>
          <w:i/>
        </w:rPr>
      </w:pPr>
      <w:r w:rsidRPr="00FF3EF3">
        <w:rPr>
          <w:rFonts w:ascii="Times New Roman" w:hAnsi="Times New Roman" w:cs="Times New Roman"/>
          <w:i/>
        </w:rPr>
        <w:t>Exceptions:</w:t>
      </w:r>
    </w:p>
    <w:p w:rsidR="00BC3535" w:rsidRPr="00FF3EF3" w:rsidRDefault="00BC3535" w:rsidP="00FF3EF3">
      <w:pPr>
        <w:numPr>
          <w:ilvl w:val="0"/>
          <w:numId w:val="15"/>
        </w:numPr>
        <w:jc w:val="both"/>
        <w:rPr>
          <w:rFonts w:ascii="Times New Roman" w:hAnsi="Times New Roman" w:cs="Times New Roman"/>
          <w:i/>
        </w:rPr>
      </w:pPr>
      <w:r w:rsidRPr="00FF3EF3">
        <w:rPr>
          <w:rFonts w:ascii="Times New Roman" w:hAnsi="Times New Roman" w:cs="Times New Roman"/>
          <w:i/>
        </w:rPr>
        <w:t>An owner may apply for an extension of time to file a summary retro-commissioning report if despite such owner’s good faith efforts, to be documented in such application, the owner is unable to complete the required retro-commissioning prior to the scheduled due date for such report.  The Department may grant no more than two such extensions of no more than one year each.  Extensions granted pursuant to this provision shall not extend the scheduled due dates for subsequent summary retro-commissioning reports.</w:t>
      </w:r>
    </w:p>
    <w:p w:rsidR="00BC3535" w:rsidRPr="00FF3EF3" w:rsidRDefault="00BC3535" w:rsidP="00FF3EF3">
      <w:pPr>
        <w:numPr>
          <w:ilvl w:val="0"/>
          <w:numId w:val="15"/>
        </w:numPr>
        <w:jc w:val="both"/>
        <w:rPr>
          <w:rFonts w:ascii="Times New Roman" w:hAnsi="Times New Roman" w:cs="Times New Roman"/>
          <w:i/>
        </w:rPr>
      </w:pPr>
      <w:r w:rsidRPr="00FF3EF3">
        <w:rPr>
          <w:rFonts w:ascii="Times New Roman" w:hAnsi="Times New Roman" w:cs="Times New Roman"/>
          <w:i/>
        </w:rPr>
        <w:t>An owner may receive annual extensions of time to file a summary retro-commissioning report based on financial hardship of the property.</w:t>
      </w:r>
    </w:p>
    <w:p w:rsidR="00BC3535" w:rsidRPr="00FF3EF3" w:rsidRDefault="00BC3535" w:rsidP="00FF3EF3">
      <w:pPr>
        <w:numPr>
          <w:ilvl w:val="0"/>
          <w:numId w:val="15"/>
        </w:numPr>
        <w:jc w:val="both"/>
        <w:rPr>
          <w:rFonts w:ascii="Times New Roman" w:hAnsi="Times New Roman" w:cs="Times New Roman"/>
          <w:i/>
        </w:rPr>
      </w:pPr>
      <w:r w:rsidRPr="00FF3EF3">
        <w:rPr>
          <w:rFonts w:ascii="Times New Roman" w:hAnsi="Times New Roman" w:cs="Times New Roman"/>
          <w:i/>
        </w:rPr>
        <w:t>An owner of a building converted from State of Georgia Property Code Class I to Class C, E, P, or V will receive an Atlanta Building ID number such that the first summary retro-commissioning report is due no sooner than five years from the year of conversion.</w:t>
      </w:r>
    </w:p>
    <w:p w:rsidR="00BC3535" w:rsidRPr="00FF3EF3" w:rsidRDefault="00BC3535" w:rsidP="00FF3EF3">
      <w:pPr>
        <w:numPr>
          <w:ilvl w:val="0"/>
          <w:numId w:val="15"/>
        </w:numPr>
        <w:jc w:val="both"/>
        <w:rPr>
          <w:rFonts w:ascii="Times New Roman" w:hAnsi="Times New Roman" w:cs="Times New Roman"/>
          <w:i/>
        </w:rPr>
      </w:pPr>
      <w:r w:rsidRPr="00FF3EF3">
        <w:rPr>
          <w:rFonts w:ascii="Times New Roman" w:hAnsi="Times New Roman" w:cs="Times New Roman"/>
          <w:i/>
        </w:rPr>
        <w:t>Other due date exceptions pursuant to Section 8-2231.</w:t>
      </w:r>
    </w:p>
    <w:p w:rsidR="00BC3535" w:rsidRPr="00FF3EF3" w:rsidRDefault="00BC3535" w:rsidP="00FF3EF3">
      <w:pPr>
        <w:jc w:val="both"/>
        <w:rPr>
          <w:rFonts w:ascii="Times New Roman" w:hAnsi="Times New Roman" w:cs="Times New Roman"/>
          <w:i/>
        </w:rPr>
      </w:pPr>
    </w:p>
    <w:p w:rsidR="00BC3535" w:rsidRPr="00FF3EF3" w:rsidRDefault="00BC3535" w:rsidP="00FF3EF3">
      <w:pPr>
        <w:pStyle w:val="ListParagraph"/>
        <w:numPr>
          <w:ilvl w:val="0"/>
          <w:numId w:val="20"/>
        </w:numPr>
        <w:jc w:val="both"/>
        <w:rPr>
          <w:rFonts w:ascii="Times New Roman" w:hAnsi="Times New Roman" w:cs="Times New Roman"/>
          <w:i/>
        </w:rPr>
      </w:pPr>
      <w:r w:rsidRPr="00FF3EF3">
        <w:rPr>
          <w:rFonts w:ascii="Times New Roman" w:hAnsi="Times New Roman" w:cs="Times New Roman"/>
          <w:i/>
        </w:rPr>
        <w:t xml:space="preserve">The owner of a covered non-city property that is less than 10 years old when the first summary retro-commissioning report would otherwise be due, or that has undergone substantial improvements, as certified by a registered design professional, and in which base building systems of such property were commissioned upon installation, within the 10 year period prior to any calendar year in which a summary retro-commissioning report is due, such that at the commencement of such calendar year all of the base building systems of such property are in compliance with the city energy code in existence at the time this ordinance takes effect (see City of Atlanta Code of Ordinances Part III, Section 8-2 and associated appendices), may defer submitting a summary retro-commissioning report for such property until the tenth calendar year after such assigned calendar year. </w:t>
      </w:r>
      <w:r w:rsidRPr="00FF3EF3" w:rsidDel="009318C6">
        <w:rPr>
          <w:rFonts w:ascii="Times New Roman" w:hAnsi="Times New Roman" w:cs="Times New Roman"/>
          <w:i/>
        </w:rPr>
        <w:t xml:space="preserve"> </w:t>
      </w:r>
      <w:r w:rsidRPr="00FF3EF3">
        <w:rPr>
          <w:rFonts w:ascii="Times New Roman" w:hAnsi="Times New Roman" w:cs="Times New Roman"/>
          <w:i/>
        </w:rPr>
        <w:t>These exemptions do not apply to covered city properties.  A summary retro-commissioning report for a covered city property constructed after the effective date of this ordinance shall be due within 10 years after the issuance of the first certificate of occupancy for such property.</w:t>
      </w:r>
    </w:p>
    <w:p w:rsidR="00081D97" w:rsidRPr="00FF3EF3" w:rsidRDefault="00081D97" w:rsidP="00FF3EF3">
      <w:pPr>
        <w:jc w:val="both"/>
        <w:rPr>
          <w:rFonts w:ascii="Times New Roman" w:hAnsi="Times New Roman" w:cs="Times New Roman"/>
          <w:b/>
        </w:rPr>
      </w:pPr>
    </w:p>
    <w:p w:rsidR="00081D97" w:rsidRPr="00FF3EF3" w:rsidRDefault="00C33915" w:rsidP="00FF3EF3">
      <w:pPr>
        <w:jc w:val="both"/>
        <w:rPr>
          <w:rFonts w:ascii="Times New Roman" w:hAnsi="Times New Roman" w:cs="Times New Roman"/>
          <w:b/>
        </w:rPr>
      </w:pPr>
      <w:r w:rsidRPr="00FF3EF3">
        <w:rPr>
          <w:rFonts w:ascii="Times New Roman" w:hAnsi="Times New Roman" w:cs="Times New Roman"/>
          <w:i/>
        </w:rPr>
        <w:t>Section 8-2231. – Compliance Window.</w:t>
      </w:r>
    </w:p>
    <w:p w:rsidR="00081D97" w:rsidRPr="00FF3EF3" w:rsidRDefault="00081D97" w:rsidP="00FF3EF3">
      <w:pPr>
        <w:jc w:val="both"/>
        <w:rPr>
          <w:rFonts w:ascii="Times New Roman" w:hAnsi="Times New Roman" w:cs="Times New Roman"/>
          <w:b/>
        </w:rPr>
      </w:pPr>
    </w:p>
    <w:p w:rsidR="00081D97" w:rsidRPr="00FF3EF3" w:rsidRDefault="00081D97" w:rsidP="00FF3EF3">
      <w:pPr>
        <w:pStyle w:val="ListParagraph"/>
        <w:numPr>
          <w:ilvl w:val="0"/>
          <w:numId w:val="30"/>
        </w:numPr>
        <w:jc w:val="both"/>
        <w:rPr>
          <w:rFonts w:ascii="Times New Roman" w:hAnsi="Times New Roman" w:cs="Times New Roman"/>
          <w:i/>
        </w:rPr>
      </w:pPr>
      <w:r w:rsidRPr="00FF3EF3">
        <w:rPr>
          <w:rFonts w:ascii="Times New Roman" w:hAnsi="Times New Roman" w:cs="Times New Roman"/>
          <w:i/>
        </w:rPr>
        <w:lastRenderedPageBreak/>
        <w:t>Notwithstanding any other provision of this ordinance, an owner may submit a summary audit</w:t>
      </w:r>
      <w:r w:rsidR="00167993" w:rsidRPr="00FF3EF3">
        <w:rPr>
          <w:rFonts w:ascii="Times New Roman" w:hAnsi="Times New Roman" w:cs="Times New Roman"/>
          <w:i/>
        </w:rPr>
        <w:t xml:space="preserve"> or retro-commissioning</w:t>
      </w:r>
      <w:r w:rsidRPr="00FF3EF3">
        <w:rPr>
          <w:rFonts w:ascii="Times New Roman" w:hAnsi="Times New Roman" w:cs="Times New Roman"/>
          <w:i/>
        </w:rPr>
        <w:t xml:space="preserve"> report prior to the compliance</w:t>
      </w:r>
      <w:r w:rsidR="00C33915" w:rsidRPr="00FF3EF3">
        <w:rPr>
          <w:rFonts w:ascii="Times New Roman" w:hAnsi="Times New Roman" w:cs="Times New Roman"/>
          <w:i/>
        </w:rPr>
        <w:t xml:space="preserve"> schedule set forth in Section 8-2228 and Section 8-2230</w:t>
      </w:r>
      <w:r w:rsidRPr="00FF3EF3">
        <w:rPr>
          <w:rFonts w:ascii="Times New Roman" w:hAnsi="Times New Roman" w:cs="Times New Roman"/>
          <w:i/>
        </w:rPr>
        <w:t>. An owner may submit a summary audit</w:t>
      </w:r>
      <w:r w:rsidR="00167993" w:rsidRPr="00FF3EF3">
        <w:rPr>
          <w:rFonts w:ascii="Times New Roman" w:hAnsi="Times New Roman" w:cs="Times New Roman"/>
          <w:i/>
        </w:rPr>
        <w:t xml:space="preserve"> or retro-commissioning</w:t>
      </w:r>
      <w:r w:rsidRPr="00FF3EF3">
        <w:rPr>
          <w:rFonts w:ascii="Times New Roman" w:hAnsi="Times New Roman" w:cs="Times New Roman"/>
          <w:i/>
        </w:rPr>
        <w:t xml:space="preserve"> report no more than 9 years prior to each due date for a summary audit.  A summary audit</w:t>
      </w:r>
      <w:r w:rsidR="00167993" w:rsidRPr="00FF3EF3">
        <w:rPr>
          <w:rFonts w:ascii="Times New Roman" w:hAnsi="Times New Roman" w:cs="Times New Roman"/>
          <w:i/>
        </w:rPr>
        <w:t xml:space="preserve"> or retro-commissioning</w:t>
      </w:r>
      <w:r w:rsidRPr="00FF3EF3">
        <w:rPr>
          <w:rFonts w:ascii="Times New Roman" w:hAnsi="Times New Roman" w:cs="Times New Roman"/>
          <w:i/>
        </w:rPr>
        <w:t xml:space="preserve"> report may be submitted no less than 5 years and no more than 15 years after any previously submitted summary audit</w:t>
      </w:r>
      <w:r w:rsidR="00167993" w:rsidRPr="00FF3EF3">
        <w:rPr>
          <w:rFonts w:ascii="Times New Roman" w:hAnsi="Times New Roman" w:cs="Times New Roman"/>
          <w:i/>
        </w:rPr>
        <w:t xml:space="preserve"> or retro-commissioning</w:t>
      </w:r>
      <w:r w:rsidRPr="00FF3EF3">
        <w:rPr>
          <w:rFonts w:ascii="Times New Roman" w:hAnsi="Times New Roman" w:cs="Times New Roman"/>
          <w:i/>
        </w:rPr>
        <w:t xml:space="preserve"> report.</w:t>
      </w:r>
      <w:r w:rsidR="00F56B81" w:rsidRPr="00FF3EF3">
        <w:rPr>
          <w:rFonts w:ascii="Times New Roman" w:hAnsi="Times New Roman" w:cs="Times New Roman"/>
          <w:i/>
        </w:rPr>
        <w:br/>
      </w:r>
    </w:p>
    <w:p w:rsidR="008F467F" w:rsidRPr="00FF3EF3" w:rsidRDefault="008F467F" w:rsidP="00FF3EF3">
      <w:pPr>
        <w:pStyle w:val="ListParagraph"/>
        <w:numPr>
          <w:ilvl w:val="0"/>
          <w:numId w:val="30"/>
        </w:numPr>
        <w:jc w:val="both"/>
        <w:rPr>
          <w:rFonts w:ascii="Times New Roman" w:hAnsi="Times New Roman" w:cs="Times New Roman"/>
          <w:i/>
        </w:rPr>
      </w:pPr>
      <w:r w:rsidRPr="00FF3EF3">
        <w:rPr>
          <w:rFonts w:ascii="Times New Roman" w:hAnsi="Times New Roman" w:cs="Times New Roman"/>
          <w:i/>
        </w:rPr>
        <w:t>Notwithstanding any other provision of this o</w:t>
      </w:r>
      <w:r w:rsidR="00DE7D71" w:rsidRPr="00FF3EF3">
        <w:rPr>
          <w:rFonts w:ascii="Times New Roman" w:hAnsi="Times New Roman" w:cs="Times New Roman"/>
          <w:i/>
        </w:rPr>
        <w:t>rdinance, an owner may submit a summary</w:t>
      </w:r>
      <w:r w:rsidRPr="00FF3EF3">
        <w:rPr>
          <w:rFonts w:ascii="Times New Roman" w:hAnsi="Times New Roman" w:cs="Times New Roman"/>
          <w:i/>
        </w:rPr>
        <w:t xml:space="preserve"> energy audit</w:t>
      </w:r>
      <w:r w:rsidR="00167993" w:rsidRPr="00FF3EF3">
        <w:rPr>
          <w:rFonts w:ascii="Times New Roman" w:hAnsi="Times New Roman" w:cs="Times New Roman"/>
          <w:i/>
        </w:rPr>
        <w:t xml:space="preserve"> or retro-commissioning</w:t>
      </w:r>
      <w:r w:rsidRPr="00FF3EF3">
        <w:rPr>
          <w:rFonts w:ascii="Times New Roman" w:hAnsi="Times New Roman" w:cs="Times New Roman"/>
          <w:i/>
        </w:rPr>
        <w:t xml:space="preserve"> report in the calendar year commencing January 1, 2016 and ending December 31, 2016, in order to achieve</w:t>
      </w:r>
      <w:r w:rsidR="00A573EB" w:rsidRPr="00FF3EF3">
        <w:rPr>
          <w:rFonts w:ascii="Times New Roman" w:hAnsi="Times New Roman" w:cs="Times New Roman"/>
          <w:i/>
        </w:rPr>
        <w:t xml:space="preserve"> early compliance with Section 8-2227</w:t>
      </w:r>
      <w:r w:rsidRPr="00FF3EF3">
        <w:rPr>
          <w:rFonts w:ascii="Times New Roman" w:hAnsi="Times New Roman" w:cs="Times New Roman"/>
          <w:i/>
        </w:rPr>
        <w:t xml:space="preserve"> and </w:t>
      </w:r>
      <w:r w:rsidR="009C4C1C" w:rsidRPr="00FF3EF3">
        <w:rPr>
          <w:rFonts w:ascii="Times New Roman" w:hAnsi="Times New Roman" w:cs="Times New Roman"/>
          <w:i/>
        </w:rPr>
        <w:t xml:space="preserve">Section </w:t>
      </w:r>
      <w:r w:rsidR="00A573EB" w:rsidRPr="00FF3EF3">
        <w:rPr>
          <w:rFonts w:ascii="Times New Roman" w:hAnsi="Times New Roman" w:cs="Times New Roman"/>
          <w:i/>
        </w:rPr>
        <w:t>8-2229</w:t>
      </w:r>
      <w:r w:rsidRPr="00FF3EF3">
        <w:rPr>
          <w:rFonts w:ascii="Times New Roman" w:hAnsi="Times New Roman" w:cs="Times New Roman"/>
          <w:i/>
        </w:rPr>
        <w:t xml:space="preserve">. </w:t>
      </w:r>
      <w:r w:rsidR="00DE7D71" w:rsidRPr="00FF3EF3">
        <w:rPr>
          <w:rFonts w:ascii="Times New Roman" w:hAnsi="Times New Roman" w:cs="Times New Roman"/>
          <w:i/>
        </w:rPr>
        <w:t xml:space="preserve">A summary </w:t>
      </w:r>
      <w:r w:rsidR="009C4C1C" w:rsidRPr="00FF3EF3">
        <w:rPr>
          <w:rFonts w:ascii="Times New Roman" w:hAnsi="Times New Roman" w:cs="Times New Roman"/>
          <w:i/>
        </w:rPr>
        <w:t>energy audit</w:t>
      </w:r>
      <w:r w:rsidR="00167993" w:rsidRPr="00FF3EF3">
        <w:rPr>
          <w:rFonts w:ascii="Times New Roman" w:hAnsi="Times New Roman" w:cs="Times New Roman"/>
          <w:i/>
        </w:rPr>
        <w:t xml:space="preserve"> or retro-commissioning</w:t>
      </w:r>
      <w:r w:rsidR="009C4C1C" w:rsidRPr="00FF3EF3">
        <w:rPr>
          <w:rFonts w:ascii="Times New Roman" w:hAnsi="Times New Roman" w:cs="Times New Roman"/>
          <w:i/>
        </w:rPr>
        <w:t xml:space="preserve"> report shall be</w:t>
      </w:r>
      <w:r w:rsidR="00F80993" w:rsidRPr="00FF3EF3">
        <w:rPr>
          <w:rFonts w:ascii="Times New Roman" w:hAnsi="Times New Roman" w:cs="Times New Roman"/>
          <w:i/>
        </w:rPr>
        <w:t xml:space="preserve"> acceptable for compliance if the audit </w:t>
      </w:r>
      <w:r w:rsidR="00167993" w:rsidRPr="00FF3EF3">
        <w:rPr>
          <w:rFonts w:ascii="Times New Roman" w:hAnsi="Times New Roman" w:cs="Times New Roman"/>
          <w:i/>
        </w:rPr>
        <w:t xml:space="preserve">or retro-commissioning </w:t>
      </w:r>
      <w:r w:rsidR="00F80993" w:rsidRPr="00FF3EF3">
        <w:rPr>
          <w:rFonts w:ascii="Times New Roman" w:hAnsi="Times New Roman" w:cs="Times New Roman"/>
          <w:i/>
        </w:rPr>
        <w:t>activity wa</w:t>
      </w:r>
      <w:r w:rsidR="009C4C1C" w:rsidRPr="00FF3EF3">
        <w:rPr>
          <w:rFonts w:ascii="Times New Roman" w:hAnsi="Times New Roman" w:cs="Times New Roman"/>
          <w:i/>
        </w:rPr>
        <w:t xml:space="preserve">s completed after January 1, 2010. </w:t>
      </w:r>
      <w:r w:rsidRPr="00FF3EF3">
        <w:rPr>
          <w:rFonts w:ascii="Times New Roman" w:hAnsi="Times New Roman" w:cs="Times New Roman"/>
          <w:i/>
        </w:rPr>
        <w:t>Such reports must comply with the req</w:t>
      </w:r>
      <w:r w:rsidR="00A573EB" w:rsidRPr="00FF3EF3">
        <w:rPr>
          <w:rFonts w:ascii="Times New Roman" w:hAnsi="Times New Roman" w:cs="Times New Roman"/>
          <w:i/>
        </w:rPr>
        <w:t>uirements set forth in Section 8-2227</w:t>
      </w:r>
      <w:r w:rsidRPr="00FF3EF3">
        <w:rPr>
          <w:rFonts w:ascii="Times New Roman" w:hAnsi="Times New Roman" w:cs="Times New Roman"/>
          <w:i/>
        </w:rPr>
        <w:t xml:space="preserve"> and </w:t>
      </w:r>
      <w:r w:rsidR="009C4C1C" w:rsidRPr="00FF3EF3">
        <w:rPr>
          <w:rFonts w:ascii="Times New Roman" w:hAnsi="Times New Roman" w:cs="Times New Roman"/>
          <w:i/>
        </w:rPr>
        <w:t xml:space="preserve">Section </w:t>
      </w:r>
      <w:r w:rsidR="00A573EB" w:rsidRPr="00FF3EF3">
        <w:rPr>
          <w:rFonts w:ascii="Times New Roman" w:hAnsi="Times New Roman" w:cs="Times New Roman"/>
          <w:i/>
        </w:rPr>
        <w:t>8-2229</w:t>
      </w:r>
      <w:r w:rsidRPr="00FF3EF3">
        <w:rPr>
          <w:rFonts w:ascii="Times New Roman" w:hAnsi="Times New Roman" w:cs="Times New Roman"/>
          <w:i/>
        </w:rPr>
        <w:t xml:space="preserve"> and include the address of the building, completion of the audit</w:t>
      </w:r>
      <w:r w:rsidR="00167993" w:rsidRPr="00FF3EF3">
        <w:rPr>
          <w:rFonts w:ascii="Times New Roman" w:hAnsi="Times New Roman" w:cs="Times New Roman"/>
          <w:i/>
        </w:rPr>
        <w:t xml:space="preserve"> or retro-commissioning</w:t>
      </w:r>
      <w:r w:rsidRPr="00FF3EF3">
        <w:rPr>
          <w:rFonts w:ascii="Times New Roman" w:hAnsi="Times New Roman" w:cs="Times New Roman"/>
          <w:i/>
        </w:rPr>
        <w:t xml:space="preserve">, and the signature and credentials of the </w:t>
      </w:r>
      <w:r w:rsidR="00DE7D71" w:rsidRPr="00FF3EF3">
        <w:rPr>
          <w:rFonts w:ascii="Times New Roman" w:hAnsi="Times New Roman" w:cs="Times New Roman"/>
          <w:i/>
        </w:rPr>
        <w:t>registered design professional</w:t>
      </w:r>
      <w:r w:rsidRPr="00FF3EF3">
        <w:rPr>
          <w:rFonts w:ascii="Times New Roman" w:hAnsi="Times New Roman" w:cs="Times New Roman"/>
          <w:i/>
        </w:rPr>
        <w:t xml:space="preserve"> performing or supervising the performance of the audit</w:t>
      </w:r>
      <w:r w:rsidR="00167993" w:rsidRPr="00FF3EF3">
        <w:rPr>
          <w:rFonts w:ascii="Times New Roman" w:hAnsi="Times New Roman" w:cs="Times New Roman"/>
          <w:i/>
        </w:rPr>
        <w:t xml:space="preserve"> or retro-commissioning</w:t>
      </w:r>
      <w:r w:rsidR="00DE7D71" w:rsidRPr="00FF3EF3">
        <w:rPr>
          <w:rFonts w:ascii="Times New Roman" w:hAnsi="Times New Roman" w:cs="Times New Roman"/>
          <w:i/>
        </w:rPr>
        <w:t xml:space="preserve"> team. A summary</w:t>
      </w:r>
      <w:r w:rsidRPr="00FF3EF3">
        <w:rPr>
          <w:rFonts w:ascii="Times New Roman" w:hAnsi="Times New Roman" w:cs="Times New Roman"/>
          <w:i/>
        </w:rPr>
        <w:t xml:space="preserve"> energy audit </w:t>
      </w:r>
      <w:r w:rsidR="00167993" w:rsidRPr="00FF3EF3">
        <w:rPr>
          <w:rFonts w:ascii="Times New Roman" w:hAnsi="Times New Roman" w:cs="Times New Roman"/>
          <w:i/>
        </w:rPr>
        <w:t xml:space="preserve">or retro-commissioning </w:t>
      </w:r>
      <w:r w:rsidRPr="00FF3EF3">
        <w:rPr>
          <w:rFonts w:ascii="Times New Roman" w:hAnsi="Times New Roman" w:cs="Times New Roman"/>
          <w:i/>
        </w:rPr>
        <w:t xml:space="preserve">report meeting these criteria submitted for early compliance shall be deemed to satisfy the first required energy audit </w:t>
      </w:r>
      <w:r w:rsidR="00167993" w:rsidRPr="00FF3EF3">
        <w:rPr>
          <w:rFonts w:ascii="Times New Roman" w:hAnsi="Times New Roman" w:cs="Times New Roman"/>
          <w:i/>
        </w:rPr>
        <w:t xml:space="preserve">or retro-commissioning </w:t>
      </w:r>
      <w:r w:rsidR="00A573EB" w:rsidRPr="00FF3EF3">
        <w:rPr>
          <w:rFonts w:ascii="Times New Roman" w:hAnsi="Times New Roman" w:cs="Times New Roman"/>
          <w:i/>
        </w:rPr>
        <w:t>report as assigned in Section 8-2228</w:t>
      </w:r>
      <w:r w:rsidRPr="00FF3EF3">
        <w:rPr>
          <w:rFonts w:ascii="Times New Roman" w:hAnsi="Times New Roman" w:cs="Times New Roman"/>
          <w:i/>
        </w:rPr>
        <w:t xml:space="preserve"> and </w:t>
      </w:r>
      <w:r w:rsidR="009C4C1C" w:rsidRPr="00FF3EF3">
        <w:rPr>
          <w:rFonts w:ascii="Times New Roman" w:hAnsi="Times New Roman" w:cs="Times New Roman"/>
          <w:i/>
        </w:rPr>
        <w:t xml:space="preserve">Section </w:t>
      </w:r>
      <w:r w:rsidR="00A573EB" w:rsidRPr="00FF3EF3">
        <w:rPr>
          <w:rFonts w:ascii="Times New Roman" w:hAnsi="Times New Roman" w:cs="Times New Roman"/>
          <w:i/>
        </w:rPr>
        <w:t>8-2230</w:t>
      </w:r>
      <w:r w:rsidRPr="00FF3EF3">
        <w:rPr>
          <w:rFonts w:ascii="Times New Roman" w:hAnsi="Times New Roman" w:cs="Times New Roman"/>
          <w:i/>
        </w:rPr>
        <w:t xml:space="preserve">. The next required energy audit </w:t>
      </w:r>
      <w:r w:rsidR="00167993" w:rsidRPr="00FF3EF3">
        <w:rPr>
          <w:rFonts w:ascii="Times New Roman" w:hAnsi="Times New Roman" w:cs="Times New Roman"/>
          <w:i/>
        </w:rPr>
        <w:t xml:space="preserve">or retro-commissioning </w:t>
      </w:r>
      <w:r w:rsidRPr="00FF3EF3">
        <w:rPr>
          <w:rFonts w:ascii="Times New Roman" w:hAnsi="Times New Roman" w:cs="Times New Roman"/>
          <w:i/>
        </w:rPr>
        <w:t>report shall be due in the tenth calendar year after the first assigned due date for such report.</w:t>
      </w:r>
    </w:p>
    <w:p w:rsidR="00081D97" w:rsidRPr="00FF3EF3" w:rsidRDefault="00081D97" w:rsidP="00FF3EF3">
      <w:pPr>
        <w:jc w:val="both"/>
        <w:rPr>
          <w:rFonts w:ascii="Times New Roman" w:hAnsi="Times New Roman" w:cs="Times New Roman"/>
          <w:b/>
        </w:rPr>
      </w:pPr>
    </w:p>
    <w:p w:rsidR="00081D97" w:rsidRPr="00FF3EF3" w:rsidRDefault="00A573EB" w:rsidP="00FF3EF3">
      <w:pPr>
        <w:jc w:val="both"/>
        <w:rPr>
          <w:rFonts w:ascii="Times New Roman" w:hAnsi="Times New Roman" w:cs="Times New Roman"/>
          <w:b/>
        </w:rPr>
      </w:pPr>
      <w:r w:rsidRPr="00FF3EF3">
        <w:rPr>
          <w:rFonts w:ascii="Times New Roman" w:hAnsi="Times New Roman" w:cs="Times New Roman"/>
          <w:i/>
        </w:rPr>
        <w:t>Section 8-223</w:t>
      </w:r>
      <w:r w:rsidR="00167993" w:rsidRPr="00FF3EF3">
        <w:rPr>
          <w:rFonts w:ascii="Times New Roman" w:hAnsi="Times New Roman" w:cs="Times New Roman"/>
          <w:i/>
        </w:rPr>
        <w:t>2</w:t>
      </w:r>
      <w:r w:rsidRPr="00FF3EF3">
        <w:rPr>
          <w:rFonts w:ascii="Times New Roman" w:hAnsi="Times New Roman" w:cs="Times New Roman"/>
          <w:i/>
        </w:rPr>
        <w:t>. – Combined Audit and Retro-commissioning.</w:t>
      </w:r>
    </w:p>
    <w:p w:rsidR="00081D97" w:rsidRPr="00FF3EF3" w:rsidRDefault="00081D97" w:rsidP="00FF3EF3">
      <w:pPr>
        <w:jc w:val="both"/>
        <w:rPr>
          <w:rFonts w:ascii="Times New Roman" w:hAnsi="Times New Roman" w:cs="Times New Roman"/>
          <w:b/>
        </w:rPr>
      </w:pPr>
    </w:p>
    <w:p w:rsidR="002D36EF" w:rsidRPr="00FF3EF3" w:rsidRDefault="002D36EF" w:rsidP="00FF3EF3">
      <w:pPr>
        <w:pStyle w:val="ListParagraph"/>
        <w:numPr>
          <w:ilvl w:val="0"/>
          <w:numId w:val="22"/>
        </w:numPr>
        <w:jc w:val="both"/>
        <w:rPr>
          <w:rFonts w:ascii="Times New Roman" w:hAnsi="Times New Roman" w:cs="Times New Roman"/>
          <w:i/>
        </w:rPr>
      </w:pPr>
      <w:r w:rsidRPr="00FF3EF3">
        <w:rPr>
          <w:rFonts w:ascii="Times New Roman" w:hAnsi="Times New Roman" w:cs="Times New Roman"/>
          <w:i/>
        </w:rPr>
        <w:t>Nothing in Article J shall prevent an owner from performing an energy audit and retro-commissioning in a combined process, provided that all the requirements applicable to Article J are met.</w:t>
      </w:r>
    </w:p>
    <w:p w:rsidR="00081D97" w:rsidRPr="00FF3EF3" w:rsidRDefault="00081D97" w:rsidP="00FF3EF3">
      <w:pPr>
        <w:jc w:val="both"/>
        <w:rPr>
          <w:rFonts w:ascii="Times New Roman" w:hAnsi="Times New Roman" w:cs="Times New Roman"/>
        </w:rPr>
      </w:pPr>
    </w:p>
    <w:p w:rsidR="00081D97" w:rsidRPr="00FF3EF3" w:rsidRDefault="00A573EB" w:rsidP="00FF3EF3">
      <w:pPr>
        <w:jc w:val="both"/>
        <w:rPr>
          <w:rFonts w:ascii="Times New Roman" w:hAnsi="Times New Roman" w:cs="Times New Roman"/>
          <w:i/>
        </w:rPr>
      </w:pPr>
      <w:r w:rsidRPr="00FF3EF3">
        <w:rPr>
          <w:rFonts w:ascii="Times New Roman" w:hAnsi="Times New Roman" w:cs="Times New Roman"/>
          <w:i/>
        </w:rPr>
        <w:t>Section 8-223</w:t>
      </w:r>
      <w:r w:rsidR="00167993" w:rsidRPr="00FF3EF3">
        <w:rPr>
          <w:rFonts w:ascii="Times New Roman" w:hAnsi="Times New Roman" w:cs="Times New Roman"/>
          <w:i/>
        </w:rPr>
        <w:t>3</w:t>
      </w:r>
      <w:r w:rsidRPr="00FF3EF3">
        <w:rPr>
          <w:rFonts w:ascii="Times New Roman" w:hAnsi="Times New Roman" w:cs="Times New Roman"/>
          <w:i/>
        </w:rPr>
        <w:t>. – Mainten</w:t>
      </w:r>
      <w:r w:rsidR="002A5A9C" w:rsidRPr="00FF3EF3">
        <w:rPr>
          <w:rFonts w:ascii="Times New Roman" w:hAnsi="Times New Roman" w:cs="Times New Roman"/>
          <w:i/>
        </w:rPr>
        <w:t>ance of Records of Benchmarking and</w:t>
      </w:r>
      <w:r w:rsidRPr="00FF3EF3">
        <w:rPr>
          <w:rFonts w:ascii="Times New Roman" w:hAnsi="Times New Roman" w:cs="Times New Roman"/>
          <w:i/>
        </w:rPr>
        <w:t xml:space="preserve"> Audits.</w:t>
      </w:r>
    </w:p>
    <w:p w:rsidR="00A573EB" w:rsidRPr="00FF3EF3" w:rsidRDefault="00A573EB" w:rsidP="00FF3EF3">
      <w:pPr>
        <w:jc w:val="both"/>
        <w:rPr>
          <w:rFonts w:ascii="Times New Roman" w:hAnsi="Times New Roman" w:cs="Times New Roman"/>
        </w:rPr>
      </w:pPr>
    </w:p>
    <w:p w:rsidR="00081D97" w:rsidRPr="00FF3EF3" w:rsidRDefault="00081D97" w:rsidP="00FF3EF3">
      <w:pPr>
        <w:pStyle w:val="ListParagraph"/>
        <w:numPr>
          <w:ilvl w:val="0"/>
          <w:numId w:val="23"/>
        </w:numPr>
        <w:jc w:val="both"/>
        <w:rPr>
          <w:rFonts w:ascii="Times New Roman" w:hAnsi="Times New Roman" w:cs="Times New Roman"/>
          <w:i/>
        </w:rPr>
      </w:pPr>
      <w:r w:rsidRPr="00FF3EF3">
        <w:rPr>
          <w:rFonts w:ascii="Times New Roman" w:hAnsi="Times New Roman" w:cs="Times New Roman"/>
          <w:i/>
        </w:rPr>
        <w:t xml:space="preserve">Building owners shall maintain records as the </w:t>
      </w:r>
      <w:r w:rsidR="00942CB4" w:rsidRPr="00FF3EF3">
        <w:rPr>
          <w:rFonts w:ascii="Times New Roman" w:hAnsi="Times New Roman" w:cs="Times New Roman"/>
          <w:i/>
        </w:rPr>
        <w:t>Department</w:t>
      </w:r>
      <w:r w:rsidRPr="00FF3EF3">
        <w:rPr>
          <w:rFonts w:ascii="Times New Roman" w:hAnsi="Times New Roman" w:cs="Times New Roman"/>
          <w:i/>
        </w:rPr>
        <w:t xml:space="preserve"> determines is necessary for carrying out the purposes o</w:t>
      </w:r>
      <w:r w:rsidR="00A573EB" w:rsidRPr="00FF3EF3">
        <w:rPr>
          <w:rFonts w:ascii="Times New Roman" w:hAnsi="Times New Roman" w:cs="Times New Roman"/>
          <w:i/>
        </w:rPr>
        <w:t>f Section 8-2222</w:t>
      </w:r>
      <w:r w:rsidRPr="00FF3EF3">
        <w:rPr>
          <w:rFonts w:ascii="Times New Roman" w:hAnsi="Times New Roman" w:cs="Times New Roman"/>
          <w:i/>
        </w:rPr>
        <w:t xml:space="preserve">, including but not limited to the energy and water bills and reports or forms received from tenants and/or utilities. Such records shall be preserved for a period of three years. At the request of the </w:t>
      </w:r>
      <w:r w:rsidR="00942CB4" w:rsidRPr="00FF3EF3">
        <w:rPr>
          <w:rFonts w:ascii="Times New Roman" w:hAnsi="Times New Roman" w:cs="Times New Roman"/>
          <w:i/>
        </w:rPr>
        <w:t>Department</w:t>
      </w:r>
      <w:r w:rsidRPr="00FF3EF3">
        <w:rPr>
          <w:rFonts w:ascii="Times New Roman" w:hAnsi="Times New Roman" w:cs="Times New Roman"/>
          <w:i/>
        </w:rPr>
        <w:t xml:space="preserve">, such records shall be made available for inspection and audit by the </w:t>
      </w:r>
      <w:r w:rsidR="00942CB4" w:rsidRPr="00FF3EF3">
        <w:rPr>
          <w:rFonts w:ascii="Times New Roman" w:hAnsi="Times New Roman" w:cs="Times New Roman"/>
          <w:i/>
        </w:rPr>
        <w:t>Department</w:t>
      </w:r>
      <w:r w:rsidRPr="00FF3EF3">
        <w:rPr>
          <w:rFonts w:ascii="Times New Roman" w:hAnsi="Times New Roman" w:cs="Times New Roman"/>
          <w:i/>
        </w:rPr>
        <w:t>.</w:t>
      </w:r>
    </w:p>
    <w:p w:rsidR="00081D97" w:rsidRPr="00FF3EF3" w:rsidRDefault="00081D97" w:rsidP="00FF3EF3">
      <w:pPr>
        <w:jc w:val="both"/>
        <w:rPr>
          <w:rFonts w:ascii="Times New Roman" w:hAnsi="Times New Roman" w:cs="Times New Roman"/>
          <w:i/>
        </w:rPr>
      </w:pPr>
    </w:p>
    <w:p w:rsidR="00081D97" w:rsidRPr="00FF3EF3" w:rsidRDefault="00081D97" w:rsidP="00FF3EF3">
      <w:pPr>
        <w:pStyle w:val="ListParagraph"/>
        <w:numPr>
          <w:ilvl w:val="0"/>
          <w:numId w:val="23"/>
        </w:numPr>
        <w:jc w:val="both"/>
        <w:rPr>
          <w:rFonts w:ascii="Times New Roman" w:hAnsi="Times New Roman" w:cs="Times New Roman"/>
          <w:i/>
        </w:rPr>
      </w:pPr>
      <w:r w:rsidRPr="00FF3EF3">
        <w:rPr>
          <w:rFonts w:ascii="Times New Roman" w:hAnsi="Times New Roman" w:cs="Times New Roman"/>
          <w:i/>
        </w:rPr>
        <w:t>Owners shall maintain a copy of the audit</w:t>
      </w:r>
      <w:r w:rsidR="00167993" w:rsidRPr="00FF3EF3">
        <w:rPr>
          <w:rFonts w:ascii="Times New Roman" w:hAnsi="Times New Roman" w:cs="Times New Roman"/>
          <w:i/>
        </w:rPr>
        <w:t xml:space="preserve"> or retro-commissioning</w:t>
      </w:r>
      <w:r w:rsidRPr="00FF3EF3">
        <w:rPr>
          <w:rFonts w:ascii="Times New Roman" w:hAnsi="Times New Roman" w:cs="Times New Roman"/>
          <w:i/>
        </w:rPr>
        <w:t xml:space="preserve"> report</w:t>
      </w:r>
      <w:r w:rsidR="00167993" w:rsidRPr="00FF3EF3">
        <w:rPr>
          <w:rFonts w:ascii="Times New Roman" w:hAnsi="Times New Roman" w:cs="Times New Roman"/>
          <w:i/>
        </w:rPr>
        <w:t xml:space="preserve"> </w:t>
      </w:r>
      <w:r w:rsidRPr="00FF3EF3">
        <w:rPr>
          <w:rFonts w:ascii="Times New Roman" w:hAnsi="Times New Roman" w:cs="Times New Roman"/>
          <w:i/>
        </w:rPr>
        <w:t xml:space="preserve">and summary audit </w:t>
      </w:r>
      <w:r w:rsidR="00167993" w:rsidRPr="00FF3EF3">
        <w:rPr>
          <w:rFonts w:ascii="Times New Roman" w:hAnsi="Times New Roman" w:cs="Times New Roman"/>
          <w:i/>
        </w:rPr>
        <w:t xml:space="preserve">or retro-commissioning </w:t>
      </w:r>
      <w:r w:rsidRPr="00FF3EF3">
        <w:rPr>
          <w:rFonts w:ascii="Times New Roman" w:hAnsi="Times New Roman" w:cs="Times New Roman"/>
          <w:i/>
        </w:rPr>
        <w:t xml:space="preserve">report on site for a minimum of eleven years from the required submission date. At the request of the </w:t>
      </w:r>
      <w:r w:rsidR="005822C6" w:rsidRPr="00FF3EF3">
        <w:rPr>
          <w:rFonts w:ascii="Times New Roman" w:hAnsi="Times New Roman" w:cs="Times New Roman"/>
          <w:i/>
        </w:rPr>
        <w:t>Department</w:t>
      </w:r>
      <w:r w:rsidRPr="00FF3EF3">
        <w:rPr>
          <w:rFonts w:ascii="Times New Roman" w:hAnsi="Times New Roman" w:cs="Times New Roman"/>
          <w:i/>
        </w:rPr>
        <w:t>, such reports shall be made available for inspection.</w:t>
      </w:r>
    </w:p>
    <w:p w:rsidR="00081D97" w:rsidRPr="00FF3EF3" w:rsidRDefault="00081D97" w:rsidP="00FF3EF3">
      <w:pPr>
        <w:jc w:val="both"/>
        <w:rPr>
          <w:rFonts w:ascii="Times New Roman" w:hAnsi="Times New Roman" w:cs="Times New Roman"/>
          <w:b/>
        </w:rPr>
      </w:pPr>
    </w:p>
    <w:p w:rsidR="00081D97" w:rsidRPr="00FF3EF3" w:rsidRDefault="003751D5" w:rsidP="00FF3EF3">
      <w:pPr>
        <w:jc w:val="both"/>
        <w:rPr>
          <w:rFonts w:ascii="Times New Roman" w:hAnsi="Times New Roman" w:cs="Times New Roman"/>
          <w:b/>
        </w:rPr>
      </w:pPr>
      <w:r w:rsidRPr="00FF3EF3">
        <w:rPr>
          <w:rFonts w:ascii="Times New Roman" w:hAnsi="Times New Roman" w:cs="Times New Roman"/>
          <w:i/>
        </w:rPr>
        <w:t>Section 8-223</w:t>
      </w:r>
      <w:r w:rsidR="002062EA" w:rsidRPr="00FF3EF3">
        <w:rPr>
          <w:rFonts w:ascii="Times New Roman" w:hAnsi="Times New Roman" w:cs="Times New Roman"/>
          <w:i/>
        </w:rPr>
        <w:t>4</w:t>
      </w:r>
      <w:r w:rsidRPr="00FF3EF3">
        <w:rPr>
          <w:rFonts w:ascii="Times New Roman" w:hAnsi="Times New Roman" w:cs="Times New Roman"/>
          <w:i/>
        </w:rPr>
        <w:t>. – Notification by the City of Auditing Requirements.</w:t>
      </w:r>
    </w:p>
    <w:p w:rsidR="00081D97" w:rsidRPr="00FF3EF3" w:rsidRDefault="00081D97" w:rsidP="00FF3EF3">
      <w:pPr>
        <w:jc w:val="both"/>
        <w:rPr>
          <w:rFonts w:ascii="Times New Roman" w:hAnsi="Times New Roman" w:cs="Times New Roman"/>
        </w:rPr>
      </w:pPr>
    </w:p>
    <w:p w:rsidR="00A636BC" w:rsidRPr="00FF3EF3" w:rsidRDefault="00081D97" w:rsidP="00FF3EF3">
      <w:pPr>
        <w:pStyle w:val="ListParagraph"/>
        <w:numPr>
          <w:ilvl w:val="0"/>
          <w:numId w:val="24"/>
        </w:numPr>
        <w:jc w:val="both"/>
        <w:rPr>
          <w:rFonts w:ascii="Times New Roman" w:hAnsi="Times New Roman" w:cs="Times New Roman"/>
          <w:i/>
        </w:rPr>
      </w:pPr>
      <w:r w:rsidRPr="00FF3EF3">
        <w:rPr>
          <w:rFonts w:ascii="Times New Roman" w:hAnsi="Times New Roman" w:cs="Times New Roman"/>
          <w:i/>
        </w:rPr>
        <w:lastRenderedPageBreak/>
        <w:t xml:space="preserve">The </w:t>
      </w:r>
      <w:r w:rsidR="00942CB4" w:rsidRPr="00FF3EF3">
        <w:rPr>
          <w:rFonts w:ascii="Times New Roman" w:hAnsi="Times New Roman" w:cs="Times New Roman"/>
          <w:i/>
        </w:rPr>
        <w:t>Department</w:t>
      </w:r>
      <w:r w:rsidRPr="00FF3EF3">
        <w:rPr>
          <w:rFonts w:ascii="Times New Roman" w:hAnsi="Times New Roman" w:cs="Times New Roman"/>
          <w:i/>
        </w:rPr>
        <w:t xml:space="preserve"> shall notify the owner of the requirements of this ordinance three years prior to the calendar year in which the covered property’s summary audit report is due and in the calendar year prior to the calendar year in which such report is due</w:t>
      </w:r>
      <w:r w:rsidR="00A25375" w:rsidRPr="00FF3EF3">
        <w:rPr>
          <w:rFonts w:ascii="Times New Roman" w:hAnsi="Times New Roman" w:cs="Times New Roman"/>
          <w:i/>
        </w:rPr>
        <w:t xml:space="preserve"> for reports due in 2019 and beyond</w:t>
      </w:r>
      <w:r w:rsidRPr="00FF3EF3">
        <w:rPr>
          <w:rFonts w:ascii="Times New Roman" w:hAnsi="Times New Roman" w:cs="Times New Roman"/>
          <w:i/>
        </w:rPr>
        <w:t>.</w:t>
      </w:r>
      <w:r w:rsidR="00DE7D71" w:rsidRPr="00FF3EF3">
        <w:rPr>
          <w:rFonts w:ascii="Times New Roman" w:hAnsi="Times New Roman" w:cs="Times New Roman"/>
          <w:i/>
        </w:rPr>
        <w:t xml:space="preserve"> Such notification may occur electronically via a posting to the Department website and failure to provide such notification shall not relieve the property owner of the requi</w:t>
      </w:r>
      <w:r w:rsidR="003751D5" w:rsidRPr="00FF3EF3">
        <w:rPr>
          <w:rFonts w:ascii="Times New Roman" w:hAnsi="Times New Roman" w:cs="Times New Roman"/>
          <w:i/>
        </w:rPr>
        <w:t>rement to comply with Sections 8-2227</w:t>
      </w:r>
      <w:r w:rsidR="00DE7D71" w:rsidRPr="00FF3EF3">
        <w:rPr>
          <w:rFonts w:ascii="Times New Roman" w:hAnsi="Times New Roman" w:cs="Times New Roman"/>
          <w:i/>
        </w:rPr>
        <w:t>.</w:t>
      </w:r>
    </w:p>
    <w:p w:rsidR="00A636BC" w:rsidRPr="00FF3EF3" w:rsidRDefault="00A636BC" w:rsidP="00FF3EF3">
      <w:pPr>
        <w:jc w:val="both"/>
        <w:rPr>
          <w:rFonts w:ascii="Times New Roman" w:hAnsi="Times New Roman" w:cs="Times New Roman"/>
          <w:i/>
        </w:rPr>
      </w:pPr>
    </w:p>
    <w:p w:rsidR="00A636BC" w:rsidRPr="00FF3EF3" w:rsidRDefault="002062EA" w:rsidP="00FF3EF3">
      <w:pPr>
        <w:jc w:val="both"/>
        <w:rPr>
          <w:rFonts w:ascii="Times New Roman" w:hAnsi="Times New Roman" w:cs="Times New Roman"/>
          <w:i/>
        </w:rPr>
      </w:pPr>
      <w:r w:rsidRPr="00FF3EF3">
        <w:rPr>
          <w:rFonts w:ascii="Times New Roman" w:hAnsi="Times New Roman" w:cs="Times New Roman"/>
          <w:i/>
        </w:rPr>
        <w:t>Section 8-2235</w:t>
      </w:r>
      <w:r w:rsidR="00A636BC" w:rsidRPr="00FF3EF3">
        <w:rPr>
          <w:rFonts w:ascii="Times New Roman" w:hAnsi="Times New Roman" w:cs="Times New Roman"/>
          <w:i/>
        </w:rPr>
        <w:t>. – Rules.</w:t>
      </w:r>
    </w:p>
    <w:p w:rsidR="00A636BC" w:rsidRPr="00FF3EF3" w:rsidRDefault="00A636BC" w:rsidP="00FF3EF3">
      <w:pPr>
        <w:jc w:val="both"/>
        <w:rPr>
          <w:rFonts w:ascii="Times New Roman" w:hAnsi="Times New Roman" w:cs="Times New Roman"/>
          <w:i/>
        </w:rPr>
      </w:pPr>
    </w:p>
    <w:p w:rsidR="00A636BC" w:rsidRPr="00FF3EF3" w:rsidRDefault="00A636BC" w:rsidP="00FF3EF3">
      <w:pPr>
        <w:pStyle w:val="PlainText"/>
        <w:jc w:val="both"/>
        <w:rPr>
          <w:rFonts w:ascii="Times New Roman" w:hAnsi="Times New Roman" w:cs="Times New Roman"/>
          <w:i/>
          <w:iCs/>
          <w:sz w:val="24"/>
          <w:szCs w:val="24"/>
        </w:rPr>
      </w:pPr>
      <w:r w:rsidRPr="00FF3EF3">
        <w:rPr>
          <w:rFonts w:ascii="Times New Roman" w:hAnsi="Times New Roman" w:cs="Times New Roman"/>
          <w:i/>
          <w:sz w:val="24"/>
          <w:szCs w:val="24"/>
        </w:rPr>
        <w:t>The Department shall promulgate such rules necessary to carry out the provisions of this Article.</w:t>
      </w:r>
      <w:r w:rsidR="002F65FD" w:rsidRPr="00FF3EF3">
        <w:rPr>
          <w:rFonts w:ascii="Times New Roman" w:hAnsi="Times New Roman" w:cs="Times New Roman"/>
          <w:i/>
          <w:sz w:val="24"/>
          <w:szCs w:val="24"/>
        </w:rPr>
        <w:t xml:space="preserve"> </w:t>
      </w:r>
      <w:r w:rsidR="00333236" w:rsidRPr="00FF3EF3">
        <w:rPr>
          <w:rFonts w:ascii="Times New Roman" w:hAnsi="Times New Roman" w:cs="Times New Roman"/>
          <w:i/>
          <w:iCs/>
          <w:sz w:val="24"/>
          <w:szCs w:val="24"/>
        </w:rPr>
        <w:t xml:space="preserve">If the Department finds it necessary to issue new rules beyond those called for in this Article or to amend this Article, such rules must be presented to a working group of affected parties and relevant stakeholders. This group will be formed within 90 days of the passage of this ordinance and prior to amending the ordinance and will consist of no more than 9 members and 2 ad hoc appointees. </w:t>
      </w:r>
      <w:r w:rsidRPr="00FF3EF3">
        <w:rPr>
          <w:rFonts w:ascii="Times New Roman" w:hAnsi="Times New Roman" w:cs="Times New Roman"/>
          <w:i/>
          <w:sz w:val="24"/>
          <w:szCs w:val="24"/>
        </w:rPr>
        <w:t>The Department may require separate fees for filing and review of applications and reports fil</w:t>
      </w:r>
      <w:r w:rsidR="002875CE" w:rsidRPr="00FF3EF3">
        <w:rPr>
          <w:rFonts w:ascii="Times New Roman" w:hAnsi="Times New Roman" w:cs="Times New Roman"/>
          <w:i/>
          <w:sz w:val="24"/>
          <w:szCs w:val="24"/>
        </w:rPr>
        <w:t xml:space="preserve">ed pursuant to this ordinance. </w:t>
      </w:r>
      <w:r w:rsidRPr="00FF3EF3">
        <w:rPr>
          <w:rFonts w:ascii="Times New Roman" w:hAnsi="Times New Roman" w:cs="Times New Roman"/>
          <w:i/>
          <w:sz w:val="24"/>
          <w:szCs w:val="24"/>
        </w:rPr>
        <w:t xml:space="preserve">The Department may also </w:t>
      </w:r>
      <w:r w:rsidR="008F48A7" w:rsidRPr="00FF3EF3">
        <w:rPr>
          <w:rFonts w:ascii="Times New Roman" w:hAnsi="Times New Roman" w:cs="Times New Roman"/>
          <w:i/>
          <w:sz w:val="24"/>
          <w:szCs w:val="24"/>
        </w:rPr>
        <w:t>allow</w:t>
      </w:r>
      <w:r w:rsidRPr="00FF3EF3">
        <w:rPr>
          <w:rFonts w:ascii="Times New Roman" w:hAnsi="Times New Roman" w:cs="Times New Roman"/>
          <w:i/>
          <w:sz w:val="24"/>
          <w:szCs w:val="24"/>
        </w:rPr>
        <w:t xml:space="preserve"> for the use of new and/or improved energy auditing technologies, including software monitoring and interval metering, as such technologies become available.</w:t>
      </w:r>
    </w:p>
    <w:p w:rsidR="00A636BC" w:rsidRPr="00FF3EF3" w:rsidRDefault="00A636BC" w:rsidP="00FF3EF3">
      <w:pPr>
        <w:tabs>
          <w:tab w:val="left" w:pos="810"/>
        </w:tabs>
        <w:jc w:val="both"/>
        <w:rPr>
          <w:rFonts w:ascii="Times New Roman" w:hAnsi="Times New Roman" w:cs="Times New Roman"/>
          <w:i/>
        </w:rPr>
      </w:pPr>
    </w:p>
    <w:p w:rsidR="00A636BC" w:rsidRPr="00FF3EF3" w:rsidRDefault="00A636BC" w:rsidP="00FF3EF3">
      <w:pPr>
        <w:tabs>
          <w:tab w:val="left" w:pos="810"/>
        </w:tabs>
        <w:jc w:val="both"/>
        <w:rPr>
          <w:rFonts w:ascii="Times New Roman" w:hAnsi="Times New Roman" w:cs="Times New Roman"/>
          <w:i/>
        </w:rPr>
      </w:pPr>
      <w:r w:rsidRPr="00FF3EF3">
        <w:rPr>
          <w:rFonts w:ascii="Times New Roman" w:hAnsi="Times New Roman" w:cs="Times New Roman"/>
          <w:i/>
        </w:rPr>
        <w:t>Section 8-223</w:t>
      </w:r>
      <w:r w:rsidR="002062EA" w:rsidRPr="00FF3EF3">
        <w:rPr>
          <w:rFonts w:ascii="Times New Roman" w:hAnsi="Times New Roman" w:cs="Times New Roman"/>
          <w:i/>
        </w:rPr>
        <w:t>6</w:t>
      </w:r>
      <w:r w:rsidRPr="00FF3EF3">
        <w:rPr>
          <w:rFonts w:ascii="Times New Roman" w:hAnsi="Times New Roman" w:cs="Times New Roman"/>
          <w:i/>
        </w:rPr>
        <w:t>. – Severability.</w:t>
      </w:r>
    </w:p>
    <w:p w:rsidR="00A636BC" w:rsidRPr="00FF3EF3" w:rsidRDefault="00A636BC" w:rsidP="00FF3EF3">
      <w:pPr>
        <w:jc w:val="both"/>
        <w:rPr>
          <w:rFonts w:ascii="Times New Roman" w:hAnsi="Times New Roman" w:cs="Times New Roman"/>
        </w:rPr>
      </w:pPr>
    </w:p>
    <w:p w:rsidR="00A636BC" w:rsidRPr="00FF3EF3" w:rsidRDefault="00A636BC" w:rsidP="00FF3EF3">
      <w:pPr>
        <w:pStyle w:val="ListParagraph"/>
        <w:numPr>
          <w:ilvl w:val="0"/>
          <w:numId w:val="8"/>
        </w:numPr>
        <w:jc w:val="both"/>
        <w:rPr>
          <w:rFonts w:ascii="Times New Roman" w:hAnsi="Times New Roman" w:cs="Times New Roman"/>
          <w:i/>
        </w:rPr>
      </w:pPr>
      <w:r w:rsidRPr="00FF3EF3">
        <w:rPr>
          <w:rFonts w:ascii="Times New Roman" w:hAnsi="Times New Roman" w:cs="Times New Roman"/>
          <w:i/>
        </w:rPr>
        <w:t>If any section, subsection, sentence, clause, phrase, or other portion of this ordinance is for any reason declared unconstitutional or invalid, in whole or in part, by any court of competent jurisdiction, such portion shall be deemed severable and such unconstitutionality or invalidity shall not affect the validity of the remaining portions of this ordinance, which shall continue in full force and effect.</w:t>
      </w:r>
    </w:p>
    <w:p w:rsidR="00A636BC" w:rsidRPr="00FF3EF3" w:rsidRDefault="00A636BC" w:rsidP="00FF3EF3">
      <w:pPr>
        <w:jc w:val="both"/>
        <w:rPr>
          <w:rFonts w:ascii="Times New Roman" w:hAnsi="Times New Roman" w:cs="Times New Roman"/>
        </w:rPr>
      </w:pPr>
    </w:p>
    <w:p w:rsidR="00A636BC" w:rsidRPr="00FF3EF3" w:rsidRDefault="00A636BC" w:rsidP="00FF3EF3">
      <w:pPr>
        <w:jc w:val="both"/>
        <w:rPr>
          <w:rFonts w:ascii="Times New Roman" w:hAnsi="Times New Roman" w:cs="Times New Roman"/>
          <w:b/>
        </w:rPr>
      </w:pPr>
      <w:r w:rsidRPr="00FF3EF3">
        <w:rPr>
          <w:rFonts w:ascii="Times New Roman" w:hAnsi="Times New Roman" w:cs="Times New Roman"/>
          <w:i/>
        </w:rPr>
        <w:t>Section 8-223</w:t>
      </w:r>
      <w:r w:rsidR="002062EA" w:rsidRPr="00FF3EF3">
        <w:rPr>
          <w:rFonts w:ascii="Times New Roman" w:hAnsi="Times New Roman" w:cs="Times New Roman"/>
          <w:i/>
        </w:rPr>
        <w:t>7</w:t>
      </w:r>
      <w:r w:rsidRPr="00FF3EF3">
        <w:rPr>
          <w:rFonts w:ascii="Times New Roman" w:hAnsi="Times New Roman" w:cs="Times New Roman"/>
          <w:i/>
        </w:rPr>
        <w:t>. – Timing.</w:t>
      </w:r>
    </w:p>
    <w:p w:rsidR="00A636BC" w:rsidRPr="00FF3EF3" w:rsidRDefault="00A636BC" w:rsidP="00FF3EF3">
      <w:pPr>
        <w:jc w:val="both"/>
        <w:rPr>
          <w:rFonts w:ascii="Times New Roman" w:hAnsi="Times New Roman" w:cs="Times New Roman"/>
        </w:rPr>
      </w:pPr>
    </w:p>
    <w:p w:rsidR="00A636BC" w:rsidRPr="00FF3EF3" w:rsidRDefault="00A636BC" w:rsidP="00FF3EF3">
      <w:pPr>
        <w:pStyle w:val="ListParagraph"/>
        <w:numPr>
          <w:ilvl w:val="0"/>
          <w:numId w:val="33"/>
        </w:numPr>
        <w:tabs>
          <w:tab w:val="left" w:pos="810"/>
        </w:tabs>
        <w:jc w:val="both"/>
        <w:rPr>
          <w:rFonts w:ascii="Times New Roman" w:hAnsi="Times New Roman" w:cs="Times New Roman"/>
          <w:i/>
        </w:rPr>
      </w:pPr>
      <w:r w:rsidRPr="00FF3EF3">
        <w:rPr>
          <w:rFonts w:ascii="Times New Roman" w:hAnsi="Times New Roman" w:cs="Times New Roman"/>
          <w:i/>
        </w:rPr>
        <w:t>This law shall take effect immediately.”</w:t>
      </w:r>
    </w:p>
    <w:p w:rsidR="00A636BC" w:rsidRPr="00FF3EF3" w:rsidRDefault="00A636BC" w:rsidP="00FF3EF3">
      <w:pPr>
        <w:jc w:val="both"/>
        <w:rPr>
          <w:rFonts w:ascii="Times New Roman" w:hAnsi="Times New Roman" w:cs="Times New Roman"/>
          <w:b/>
        </w:rPr>
      </w:pPr>
    </w:p>
    <w:p w:rsidR="00491F72" w:rsidRPr="00FF3EF3" w:rsidRDefault="00491F72" w:rsidP="00FF3EF3">
      <w:pPr>
        <w:jc w:val="both"/>
        <w:rPr>
          <w:rFonts w:ascii="Times New Roman" w:hAnsi="Times New Roman" w:cs="Times New Roman"/>
        </w:rPr>
      </w:pPr>
      <w:r w:rsidRPr="00FF3EF3">
        <w:rPr>
          <w:rFonts w:ascii="Times New Roman" w:hAnsi="Times New Roman" w:cs="Times New Roman"/>
          <w:b/>
          <w:u w:val="single"/>
        </w:rPr>
        <w:t>Section 3.</w:t>
      </w:r>
      <w:r w:rsidRPr="00FF3EF3">
        <w:rPr>
          <w:rFonts w:ascii="Times New Roman" w:hAnsi="Times New Roman" w:cs="Times New Roman"/>
        </w:rPr>
        <w:t xml:space="preserve"> Section 8-2094(c)</w:t>
      </w:r>
      <w:r w:rsidR="0003391A" w:rsidRPr="00FF3EF3">
        <w:rPr>
          <w:rFonts w:ascii="Times New Roman" w:hAnsi="Times New Roman" w:cs="Times New Roman"/>
        </w:rPr>
        <w:t xml:space="preserve"> of Part 8, Community and Human Development, Chapter 2, Building Regulations, </w:t>
      </w:r>
      <w:r w:rsidRPr="00FF3EF3">
        <w:rPr>
          <w:rFonts w:ascii="Times New Roman" w:hAnsi="Times New Roman" w:cs="Times New Roman"/>
        </w:rPr>
        <w:t>of the Land Development Code, Part III of the Atlanta City Code, shall be amended by adding subsections (7) and (8) which shall read as follows:</w:t>
      </w:r>
    </w:p>
    <w:p w:rsidR="00491F72" w:rsidRPr="00FF3EF3" w:rsidRDefault="00491F72" w:rsidP="00FF3EF3">
      <w:pPr>
        <w:jc w:val="both"/>
        <w:rPr>
          <w:rFonts w:ascii="Times New Roman" w:hAnsi="Times New Roman" w:cs="Times New Roman"/>
          <w:i/>
        </w:rPr>
      </w:pPr>
    </w:p>
    <w:p w:rsidR="00491F72" w:rsidRPr="00FF3EF3" w:rsidRDefault="00491F72" w:rsidP="00FF3EF3">
      <w:pPr>
        <w:jc w:val="both"/>
        <w:rPr>
          <w:rFonts w:ascii="Times New Roman" w:hAnsi="Times New Roman" w:cs="Times New Roman"/>
          <w:i/>
        </w:rPr>
      </w:pPr>
      <w:r w:rsidRPr="00FF3EF3">
        <w:rPr>
          <w:rFonts w:ascii="Times New Roman" w:hAnsi="Times New Roman" w:cs="Times New Roman"/>
          <w:i/>
        </w:rPr>
        <w:t>(7)  Notwithstanding the foregoing, failure to comply with any provision of Section 8-2222 through Section 8-2226 or to misrepresent any material fact in a document required to be prepared or disclosed by said sections shall result in the following:</w:t>
      </w:r>
    </w:p>
    <w:p w:rsidR="00491F72" w:rsidRPr="00FF3EF3" w:rsidRDefault="00491F72" w:rsidP="00FF3EF3">
      <w:pPr>
        <w:jc w:val="both"/>
        <w:rPr>
          <w:rFonts w:ascii="Times New Roman" w:hAnsi="Times New Roman" w:cs="Times New Roman"/>
          <w:i/>
        </w:rPr>
      </w:pPr>
    </w:p>
    <w:p w:rsidR="00491F72" w:rsidRPr="00FF3EF3" w:rsidRDefault="00491F72" w:rsidP="00FF3EF3">
      <w:pPr>
        <w:ind w:firstLine="720"/>
        <w:jc w:val="both"/>
        <w:rPr>
          <w:rFonts w:ascii="Times New Roman" w:hAnsi="Times New Roman" w:cs="Times New Roman"/>
          <w:i/>
        </w:rPr>
      </w:pPr>
      <w:r w:rsidRPr="00FF3EF3">
        <w:rPr>
          <w:rFonts w:ascii="Times New Roman" w:hAnsi="Times New Roman" w:cs="Times New Roman"/>
          <w:i/>
        </w:rPr>
        <w:t>i. a written warning issued by the City for the first violation; and</w:t>
      </w:r>
    </w:p>
    <w:p w:rsidR="00491F72" w:rsidRPr="00FF3EF3" w:rsidRDefault="00491F72" w:rsidP="00FF3EF3">
      <w:pPr>
        <w:jc w:val="both"/>
        <w:rPr>
          <w:rFonts w:ascii="Times New Roman" w:hAnsi="Times New Roman" w:cs="Times New Roman"/>
          <w:i/>
        </w:rPr>
      </w:pPr>
    </w:p>
    <w:p w:rsidR="00491F72" w:rsidRPr="00FF3EF3" w:rsidRDefault="00491F72" w:rsidP="00FF3EF3">
      <w:pPr>
        <w:ind w:left="720"/>
        <w:jc w:val="both"/>
        <w:rPr>
          <w:rFonts w:ascii="Times New Roman" w:hAnsi="Times New Roman" w:cs="Times New Roman"/>
          <w:i/>
        </w:rPr>
      </w:pPr>
      <w:r w:rsidRPr="00FF3EF3">
        <w:rPr>
          <w:rFonts w:ascii="Times New Roman" w:hAnsi="Times New Roman" w:cs="Times New Roman"/>
          <w:i/>
        </w:rPr>
        <w:t xml:space="preserve">ii. if initial benchmarking information or updated benchmarking information is    not reported within 30 days of the date the written warning is issued, said failure shall constitute an offense and shall be punishable upon conviction by a fine of $1,000. Each year of non-compliance shall constitute a separate offense </w:t>
      </w:r>
      <w:r w:rsidRPr="00FF3EF3">
        <w:rPr>
          <w:rFonts w:ascii="Times New Roman" w:hAnsi="Times New Roman" w:cs="Times New Roman"/>
          <w:i/>
        </w:rPr>
        <w:lastRenderedPageBreak/>
        <w:t>punishable upon conviction by a fine of $1</w:t>
      </w:r>
      <w:r w:rsidR="001E0211" w:rsidRPr="00FF3EF3">
        <w:rPr>
          <w:rFonts w:ascii="Times New Roman" w:hAnsi="Times New Roman" w:cs="Times New Roman"/>
          <w:i/>
        </w:rPr>
        <w:t>,</w:t>
      </w:r>
      <w:r w:rsidRPr="00FF3EF3">
        <w:rPr>
          <w:rFonts w:ascii="Times New Roman" w:hAnsi="Times New Roman" w:cs="Times New Roman"/>
          <w:i/>
        </w:rPr>
        <w:t>000.</w:t>
      </w:r>
      <w:r w:rsidRPr="00FF3EF3">
        <w:rPr>
          <w:rFonts w:ascii="Times New Roman" w:hAnsi="Times New Roman" w:cs="Times New Roman"/>
        </w:rPr>
        <w:br/>
      </w:r>
    </w:p>
    <w:p w:rsidR="00491F72" w:rsidRPr="00FF3EF3" w:rsidRDefault="00491F72" w:rsidP="00FF3EF3">
      <w:pPr>
        <w:tabs>
          <w:tab w:val="left" w:pos="810"/>
        </w:tabs>
        <w:jc w:val="both"/>
        <w:rPr>
          <w:rFonts w:ascii="Times New Roman" w:hAnsi="Times New Roman" w:cs="Times New Roman"/>
          <w:i/>
        </w:rPr>
      </w:pPr>
      <w:r w:rsidRPr="00FF3EF3">
        <w:rPr>
          <w:rFonts w:ascii="Times New Roman" w:hAnsi="Times New Roman" w:cs="Times New Roman"/>
          <w:i/>
        </w:rPr>
        <w:t xml:space="preserve">(8) Notwithstanding the foregoing, failure to comply with any provision of </w:t>
      </w:r>
      <w:r w:rsidR="002D05AC" w:rsidRPr="00FF3EF3">
        <w:rPr>
          <w:rFonts w:ascii="Times New Roman" w:hAnsi="Times New Roman" w:cs="Times New Roman"/>
          <w:i/>
        </w:rPr>
        <w:t>Section 8-2227 through Section 8-22</w:t>
      </w:r>
      <w:r w:rsidR="000E2193" w:rsidRPr="00FF3EF3">
        <w:rPr>
          <w:rFonts w:ascii="Times New Roman" w:hAnsi="Times New Roman" w:cs="Times New Roman"/>
          <w:i/>
        </w:rPr>
        <w:t>28</w:t>
      </w:r>
      <w:r w:rsidRPr="00FF3EF3">
        <w:rPr>
          <w:rFonts w:ascii="Times New Roman" w:hAnsi="Times New Roman" w:cs="Times New Roman"/>
          <w:i/>
        </w:rPr>
        <w:t xml:space="preserve"> or the building owner submits incomplete or false information, shall result in the following:</w:t>
      </w:r>
    </w:p>
    <w:p w:rsidR="00491F72" w:rsidRPr="00FF3EF3" w:rsidRDefault="00491F72" w:rsidP="00FF3EF3">
      <w:pPr>
        <w:tabs>
          <w:tab w:val="left" w:pos="810"/>
        </w:tabs>
        <w:jc w:val="both"/>
        <w:rPr>
          <w:rFonts w:ascii="Times New Roman" w:hAnsi="Times New Roman" w:cs="Times New Roman"/>
          <w:i/>
        </w:rPr>
      </w:pPr>
    </w:p>
    <w:p w:rsidR="00491F72" w:rsidRPr="00FF3EF3" w:rsidRDefault="00491F72" w:rsidP="00FF3EF3">
      <w:pPr>
        <w:ind w:firstLine="720"/>
        <w:jc w:val="both"/>
        <w:rPr>
          <w:rFonts w:ascii="Times New Roman" w:hAnsi="Times New Roman" w:cs="Times New Roman"/>
          <w:i/>
        </w:rPr>
      </w:pPr>
      <w:r w:rsidRPr="00FF3EF3">
        <w:rPr>
          <w:rFonts w:ascii="Times New Roman" w:hAnsi="Times New Roman" w:cs="Times New Roman"/>
          <w:i/>
        </w:rPr>
        <w:t>i. a written warning issued by the City for the first violation; and</w:t>
      </w:r>
    </w:p>
    <w:p w:rsidR="00491F72" w:rsidRPr="00FF3EF3" w:rsidRDefault="00491F72" w:rsidP="00FF3EF3">
      <w:pPr>
        <w:jc w:val="both"/>
        <w:rPr>
          <w:rFonts w:ascii="Times New Roman" w:hAnsi="Times New Roman" w:cs="Times New Roman"/>
        </w:rPr>
      </w:pPr>
    </w:p>
    <w:p w:rsidR="00491F72" w:rsidRPr="00FF3EF3" w:rsidRDefault="00491F72" w:rsidP="00FF3EF3">
      <w:pPr>
        <w:ind w:left="720"/>
        <w:jc w:val="both"/>
        <w:rPr>
          <w:rFonts w:ascii="Times New Roman" w:hAnsi="Times New Roman" w:cs="Times New Roman"/>
          <w:i/>
        </w:rPr>
      </w:pPr>
      <w:r w:rsidRPr="00FF3EF3">
        <w:rPr>
          <w:rFonts w:ascii="Times New Roman" w:hAnsi="Times New Roman" w:cs="Times New Roman"/>
          <w:i/>
        </w:rPr>
        <w:t>ii.  if the</w:t>
      </w:r>
      <w:r w:rsidR="00B01C70" w:rsidRPr="00FF3EF3">
        <w:rPr>
          <w:rFonts w:ascii="Times New Roman" w:hAnsi="Times New Roman" w:cs="Times New Roman"/>
          <w:i/>
        </w:rPr>
        <w:t xml:space="preserve"> summary audit report</w:t>
      </w:r>
      <w:r w:rsidRPr="00FF3EF3">
        <w:rPr>
          <w:rFonts w:ascii="Times New Roman" w:hAnsi="Times New Roman" w:cs="Times New Roman"/>
          <w:i/>
        </w:rPr>
        <w:t xml:space="preserve"> information is not reported within 90 days of the date the written warning is issued, said failure shall constitute an offense and shall be punishable upon conviction by a fine of $1,000. Each year of non-compliance shall constitute a separate offense punishable upon conviction by a fine of $1</w:t>
      </w:r>
      <w:r w:rsidR="001E0211" w:rsidRPr="00FF3EF3">
        <w:rPr>
          <w:rFonts w:ascii="Times New Roman" w:hAnsi="Times New Roman" w:cs="Times New Roman"/>
          <w:i/>
        </w:rPr>
        <w:t>,</w:t>
      </w:r>
      <w:r w:rsidRPr="00FF3EF3">
        <w:rPr>
          <w:rFonts w:ascii="Times New Roman" w:hAnsi="Times New Roman" w:cs="Times New Roman"/>
          <w:i/>
        </w:rPr>
        <w:t>000.</w:t>
      </w:r>
    </w:p>
    <w:p w:rsidR="009359BC" w:rsidRPr="00FF3EF3" w:rsidRDefault="009359BC" w:rsidP="00FF3EF3">
      <w:pPr>
        <w:jc w:val="both"/>
        <w:rPr>
          <w:rFonts w:ascii="Times New Roman" w:hAnsi="Times New Roman" w:cs="Times New Roman"/>
        </w:rPr>
      </w:pPr>
    </w:p>
    <w:p w:rsidR="00081D97" w:rsidRPr="00FF3EF3" w:rsidRDefault="009B70DB" w:rsidP="00FF3EF3">
      <w:pPr>
        <w:jc w:val="both"/>
        <w:rPr>
          <w:rFonts w:ascii="Times New Roman" w:hAnsi="Times New Roman" w:cs="Times New Roman"/>
        </w:rPr>
      </w:pPr>
      <w:r w:rsidRPr="00FF3EF3">
        <w:rPr>
          <w:rFonts w:ascii="Times New Roman" w:hAnsi="Times New Roman" w:cs="Times New Roman"/>
          <w:b/>
          <w:u w:val="single"/>
        </w:rPr>
        <w:t>Section 4</w:t>
      </w:r>
      <w:r w:rsidR="000D0BF5" w:rsidRPr="00FF3EF3">
        <w:rPr>
          <w:rFonts w:ascii="Times New Roman" w:hAnsi="Times New Roman" w:cs="Times New Roman"/>
          <w:b/>
          <w:u w:val="single"/>
        </w:rPr>
        <w:t>.</w:t>
      </w:r>
      <w:r w:rsidR="000D0BF5" w:rsidRPr="00FF3EF3">
        <w:rPr>
          <w:rFonts w:ascii="Times New Roman" w:hAnsi="Times New Roman" w:cs="Times New Roman"/>
          <w:b/>
        </w:rPr>
        <w:t xml:space="preserve"> </w:t>
      </w:r>
      <w:r w:rsidR="000D0BF5" w:rsidRPr="00FF3EF3">
        <w:rPr>
          <w:rFonts w:ascii="Times New Roman" w:hAnsi="Times New Roman" w:cs="Times New Roman"/>
        </w:rPr>
        <w:t>All ordinances in conflict with this ordinance are hereby waived to the extent of the conflict.</w:t>
      </w:r>
    </w:p>
    <w:p w:rsidR="00081D97" w:rsidRPr="00FF3EF3" w:rsidRDefault="00081D97" w:rsidP="00FF3EF3">
      <w:pPr>
        <w:jc w:val="both"/>
        <w:rPr>
          <w:rFonts w:ascii="Times New Roman" w:hAnsi="Times New Roman" w:cs="Times New Roman"/>
        </w:rPr>
      </w:pPr>
    </w:p>
    <w:p w:rsidR="00081D97" w:rsidRPr="00FF3EF3" w:rsidRDefault="00081D97" w:rsidP="00FF3EF3">
      <w:pPr>
        <w:jc w:val="both"/>
        <w:rPr>
          <w:rFonts w:ascii="Times New Roman" w:hAnsi="Times New Roman" w:cs="Times New Roman"/>
        </w:rPr>
      </w:pPr>
    </w:p>
    <w:p w:rsidR="00F80993" w:rsidRPr="00FF3EF3" w:rsidRDefault="00F80993" w:rsidP="00FF3EF3">
      <w:pPr>
        <w:jc w:val="both"/>
        <w:rPr>
          <w:rFonts w:ascii="Times New Roman" w:hAnsi="Times New Roman" w:cs="Times New Roman"/>
        </w:rPr>
      </w:pPr>
    </w:p>
    <w:sectPr w:rsidR="00F80993" w:rsidRPr="00FF3EF3" w:rsidSect="00F80993">
      <w:headerReference w:type="even" r:id="rId8"/>
      <w:headerReference w:type="default" r:id="rId9"/>
      <w:foot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FDB" w:rsidRDefault="00687FDB">
      <w:r>
        <w:separator/>
      </w:r>
    </w:p>
  </w:endnote>
  <w:endnote w:type="continuationSeparator" w:id="0">
    <w:p w:rsidR="00687FDB" w:rsidRDefault="0068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66653"/>
      <w:docPartObj>
        <w:docPartGallery w:val="Page Numbers (Bottom of Page)"/>
        <w:docPartUnique/>
      </w:docPartObj>
    </w:sdtPr>
    <w:sdtEndPr/>
    <w:sdtContent>
      <w:p w:rsidR="00C26B8A" w:rsidRDefault="00437B36">
        <w:pPr>
          <w:pStyle w:val="Footer"/>
          <w:jc w:val="center"/>
        </w:pPr>
        <w:r>
          <w:fldChar w:fldCharType="begin"/>
        </w:r>
        <w:r>
          <w:instrText xml:space="preserve"> PAGE   \* MERGEFORMAT </w:instrText>
        </w:r>
        <w:r>
          <w:fldChar w:fldCharType="separate"/>
        </w:r>
        <w:r w:rsidR="0079334E">
          <w:rPr>
            <w:noProof/>
          </w:rPr>
          <w:t>1</w:t>
        </w:r>
        <w:r>
          <w:rPr>
            <w:noProof/>
          </w:rPr>
          <w:fldChar w:fldCharType="end"/>
        </w:r>
      </w:p>
    </w:sdtContent>
  </w:sdt>
  <w:p w:rsidR="00973DEC" w:rsidRDefault="00973DEC" w:rsidP="00F8099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FDB" w:rsidRDefault="00687FDB">
      <w:r>
        <w:separator/>
      </w:r>
    </w:p>
  </w:footnote>
  <w:footnote w:type="continuationSeparator" w:id="0">
    <w:p w:rsidR="00687FDB" w:rsidRDefault="00687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EC" w:rsidRDefault="0079334E">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8C794A" id="_x0000_t202" coordsize="21600,21600" o:spt="202" path="m,l,21600r21600,l21600,xe">
              <v:stroke joinstyle="miter"/>
              <v:path gradientshapeok="t" o:connecttype="rect"/>
            </v:shapetype>
            <v:shape id="WordArt 2" o:spid="_x0000_s1026" type="#_x0000_t202" style="position:absolute;margin-left:0;margin-top:0;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D/iEPN8QEAAM0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EC" w:rsidRPr="00A97492" w:rsidRDefault="00973DEC" w:rsidP="00F80993">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EC" w:rsidRDefault="0079334E">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14400" cy="9144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233716" id="_x0000_t202" coordsize="21600,21600" o:spt="202" path="m,l,21600r21600,l21600,xe">
              <v:stroke joinstyle="miter"/>
              <v:path gradientshapeok="t" o:connecttype="rect"/>
            </v:shapetype>
            <v:shape id="WordArt 3"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846"/>
    <w:multiLevelType w:val="hybridMultilevel"/>
    <w:tmpl w:val="08E81BAC"/>
    <w:lvl w:ilvl="0" w:tplc="A0EA995E">
      <w:start w:val="1"/>
      <w:numFmt w:val="lowerLetter"/>
      <w:lvlText w:val="(%1)"/>
      <w:lvlJc w:val="left"/>
      <w:pPr>
        <w:ind w:left="117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560B0D"/>
    <w:multiLevelType w:val="multilevel"/>
    <w:tmpl w:val="2A42ADD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00E6380C"/>
    <w:multiLevelType w:val="hybridMultilevel"/>
    <w:tmpl w:val="E1CE55F6"/>
    <w:lvl w:ilvl="0" w:tplc="083EAB34">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5A37A28"/>
    <w:multiLevelType w:val="multilevel"/>
    <w:tmpl w:val="B146420E"/>
    <w:numStyleLink w:val="Style1"/>
  </w:abstractNum>
  <w:abstractNum w:abstractNumId="4" w15:restartNumberingAfterBreak="0">
    <w:nsid w:val="07351FDD"/>
    <w:multiLevelType w:val="multilevel"/>
    <w:tmpl w:val="B146420E"/>
    <w:numStyleLink w:val="Style1"/>
  </w:abstractNum>
  <w:abstractNum w:abstractNumId="5" w15:restartNumberingAfterBreak="0">
    <w:nsid w:val="08BD7242"/>
    <w:multiLevelType w:val="hybridMultilevel"/>
    <w:tmpl w:val="383810E0"/>
    <w:lvl w:ilvl="0" w:tplc="A0EA995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F231E"/>
    <w:multiLevelType w:val="multilevel"/>
    <w:tmpl w:val="B146420E"/>
    <w:numStyleLink w:val="Style1"/>
  </w:abstractNum>
  <w:abstractNum w:abstractNumId="7" w15:restartNumberingAfterBreak="0">
    <w:nsid w:val="0F3470F5"/>
    <w:multiLevelType w:val="multilevel"/>
    <w:tmpl w:val="2A42ADD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157F54E0"/>
    <w:multiLevelType w:val="hybridMultilevel"/>
    <w:tmpl w:val="E00489B6"/>
    <w:lvl w:ilvl="0" w:tplc="A0EA995E">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C36F77"/>
    <w:multiLevelType w:val="hybridMultilevel"/>
    <w:tmpl w:val="F872C4D8"/>
    <w:lvl w:ilvl="0" w:tplc="8258E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1D15E8"/>
    <w:multiLevelType w:val="hybridMultilevel"/>
    <w:tmpl w:val="300EE7AA"/>
    <w:lvl w:ilvl="0" w:tplc="A0EA99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540E37"/>
    <w:multiLevelType w:val="hybridMultilevel"/>
    <w:tmpl w:val="687005A8"/>
    <w:lvl w:ilvl="0" w:tplc="A0EA9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03F81"/>
    <w:multiLevelType w:val="multilevel"/>
    <w:tmpl w:val="2A42ADD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1F217096"/>
    <w:multiLevelType w:val="multilevel"/>
    <w:tmpl w:val="6DACF00A"/>
    <w:lvl w:ilvl="0">
      <w:start w:val="1"/>
      <w:numFmt w:val="decimal"/>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4" w15:restartNumberingAfterBreak="0">
    <w:nsid w:val="1F6A5521"/>
    <w:multiLevelType w:val="multilevel"/>
    <w:tmpl w:val="B146420E"/>
    <w:numStyleLink w:val="Style1"/>
  </w:abstractNum>
  <w:abstractNum w:abstractNumId="15" w15:restartNumberingAfterBreak="0">
    <w:nsid w:val="204E79A3"/>
    <w:multiLevelType w:val="hybridMultilevel"/>
    <w:tmpl w:val="40A8D8A0"/>
    <w:lvl w:ilvl="0" w:tplc="88BC1A8E">
      <w:start w:val="1"/>
      <w:numFmt w:val="decimal"/>
      <w:lvlText w:val="(%1)"/>
      <w:lvlJc w:val="left"/>
      <w:pPr>
        <w:ind w:left="360" w:hanging="360"/>
      </w:pPr>
      <w:rPr>
        <w:rFonts w:hint="default"/>
      </w:rPr>
    </w:lvl>
    <w:lvl w:ilvl="1" w:tplc="A0EA995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DB6103"/>
    <w:multiLevelType w:val="hybridMultilevel"/>
    <w:tmpl w:val="D24C4466"/>
    <w:lvl w:ilvl="0" w:tplc="A0EA995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7E4988"/>
    <w:multiLevelType w:val="multilevel"/>
    <w:tmpl w:val="2A42ADD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27180DD4"/>
    <w:multiLevelType w:val="multilevel"/>
    <w:tmpl w:val="2A42ADD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28E33D00"/>
    <w:multiLevelType w:val="multilevel"/>
    <w:tmpl w:val="B146420E"/>
    <w:numStyleLink w:val="Style1"/>
  </w:abstractNum>
  <w:abstractNum w:abstractNumId="20" w15:restartNumberingAfterBreak="0">
    <w:nsid w:val="2BBF0A26"/>
    <w:multiLevelType w:val="hybridMultilevel"/>
    <w:tmpl w:val="BE124BBA"/>
    <w:lvl w:ilvl="0" w:tplc="C436F1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674CF"/>
    <w:multiLevelType w:val="multilevel"/>
    <w:tmpl w:val="B146420E"/>
    <w:styleLink w:val="Style1"/>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32D72A4B"/>
    <w:multiLevelType w:val="hybridMultilevel"/>
    <w:tmpl w:val="E1CE55F6"/>
    <w:lvl w:ilvl="0" w:tplc="083EAB3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5F2198"/>
    <w:multiLevelType w:val="hybridMultilevel"/>
    <w:tmpl w:val="E6A010DE"/>
    <w:lvl w:ilvl="0" w:tplc="A0EA99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9B04E67"/>
    <w:multiLevelType w:val="multilevel"/>
    <w:tmpl w:val="2A42ADD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42FF7B4C"/>
    <w:multiLevelType w:val="hybridMultilevel"/>
    <w:tmpl w:val="D94E3F9A"/>
    <w:lvl w:ilvl="0" w:tplc="A0EA9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8260F"/>
    <w:multiLevelType w:val="hybridMultilevel"/>
    <w:tmpl w:val="687005A8"/>
    <w:lvl w:ilvl="0" w:tplc="A0EA9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C46F4"/>
    <w:multiLevelType w:val="multilevel"/>
    <w:tmpl w:val="AAF869F0"/>
    <w:lvl w:ilvl="0">
      <w:start w:val="4"/>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15:restartNumberingAfterBreak="0">
    <w:nsid w:val="53774ADE"/>
    <w:multiLevelType w:val="multilevel"/>
    <w:tmpl w:val="2A42ADD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55247EA2"/>
    <w:multiLevelType w:val="multilevel"/>
    <w:tmpl w:val="2A42ADD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15:restartNumberingAfterBreak="0">
    <w:nsid w:val="56B46D82"/>
    <w:multiLevelType w:val="multilevel"/>
    <w:tmpl w:val="B146420E"/>
    <w:numStyleLink w:val="Style1"/>
  </w:abstractNum>
  <w:abstractNum w:abstractNumId="31" w15:restartNumberingAfterBreak="0">
    <w:nsid w:val="5AAF22CD"/>
    <w:multiLevelType w:val="hybridMultilevel"/>
    <w:tmpl w:val="50068584"/>
    <w:lvl w:ilvl="0" w:tplc="8258E796">
      <w:start w:val="1"/>
      <w:numFmt w:val="decimal"/>
      <w:lvlText w:val="(%1)"/>
      <w:lvlJc w:val="left"/>
      <w:pPr>
        <w:ind w:left="1080" w:hanging="360"/>
      </w:pPr>
      <w:rPr>
        <w:rFonts w:hint="default"/>
      </w:rPr>
    </w:lvl>
    <w:lvl w:ilvl="1" w:tplc="7744EBC2">
      <w:start w:val="1"/>
      <w:numFmt w:val="decimal"/>
      <w:lvlText w:val="(%2)"/>
      <w:lvlJc w:val="left"/>
      <w:pPr>
        <w:ind w:left="1450" w:hanging="3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C0E00"/>
    <w:multiLevelType w:val="hybridMultilevel"/>
    <w:tmpl w:val="7B4A5300"/>
    <w:lvl w:ilvl="0" w:tplc="A0EA99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E71DC2"/>
    <w:multiLevelType w:val="hybridMultilevel"/>
    <w:tmpl w:val="A7CA70A8"/>
    <w:lvl w:ilvl="0" w:tplc="8258E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B20722"/>
    <w:multiLevelType w:val="multilevel"/>
    <w:tmpl w:val="B146420E"/>
    <w:numStyleLink w:val="Style1"/>
  </w:abstractNum>
  <w:abstractNum w:abstractNumId="35" w15:restartNumberingAfterBreak="0">
    <w:nsid w:val="766730CA"/>
    <w:multiLevelType w:val="multilevel"/>
    <w:tmpl w:val="B146420E"/>
    <w:numStyleLink w:val="Style1"/>
  </w:abstractNum>
  <w:abstractNum w:abstractNumId="36" w15:restartNumberingAfterBreak="0">
    <w:nsid w:val="78CC7AC2"/>
    <w:multiLevelType w:val="hybridMultilevel"/>
    <w:tmpl w:val="762AB9A0"/>
    <w:lvl w:ilvl="0" w:tplc="7A4AC884">
      <w:start w:val="2"/>
      <w:numFmt w:val="lowerLetter"/>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7" w15:restartNumberingAfterBreak="0">
    <w:nsid w:val="7D0D2008"/>
    <w:multiLevelType w:val="multilevel"/>
    <w:tmpl w:val="2A42ADD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7FE9643D"/>
    <w:multiLevelType w:val="multilevel"/>
    <w:tmpl w:val="B146420E"/>
    <w:numStyleLink w:val="Style1"/>
  </w:abstractNum>
  <w:num w:numId="1">
    <w:abstractNumId w:val="0"/>
  </w:num>
  <w:num w:numId="2">
    <w:abstractNumId w:val="32"/>
  </w:num>
  <w:num w:numId="3">
    <w:abstractNumId w:val="10"/>
  </w:num>
  <w:num w:numId="4">
    <w:abstractNumId w:val="8"/>
  </w:num>
  <w:num w:numId="5">
    <w:abstractNumId w:val="5"/>
  </w:num>
  <w:num w:numId="6">
    <w:abstractNumId w:val="6"/>
  </w:num>
  <w:num w:numId="7">
    <w:abstractNumId w:val="14"/>
  </w:num>
  <w:num w:numId="8">
    <w:abstractNumId w:val="7"/>
  </w:num>
  <w:num w:numId="9">
    <w:abstractNumId w:val="20"/>
  </w:num>
  <w:num w:numId="10">
    <w:abstractNumId w:val="26"/>
  </w:num>
  <w:num w:numId="11">
    <w:abstractNumId w:val="15"/>
  </w:num>
  <w:num w:numId="12">
    <w:abstractNumId w:val="31"/>
  </w:num>
  <w:num w:numId="13">
    <w:abstractNumId w:val="2"/>
  </w:num>
  <w:num w:numId="14">
    <w:abstractNumId w:val="19"/>
  </w:num>
  <w:num w:numId="15">
    <w:abstractNumId w:val="33"/>
  </w:num>
  <w:num w:numId="16">
    <w:abstractNumId w:val="9"/>
  </w:num>
  <w:num w:numId="17">
    <w:abstractNumId w:val="16"/>
  </w:num>
  <w:num w:numId="18">
    <w:abstractNumId w:val="4"/>
  </w:num>
  <w:num w:numId="19">
    <w:abstractNumId w:val="3"/>
  </w:num>
  <w:num w:numId="20">
    <w:abstractNumId w:val="1"/>
  </w:num>
  <w:num w:numId="21">
    <w:abstractNumId w:val="18"/>
  </w:num>
  <w:num w:numId="22">
    <w:abstractNumId w:val="17"/>
  </w:num>
  <w:num w:numId="23">
    <w:abstractNumId w:val="12"/>
  </w:num>
  <w:num w:numId="24">
    <w:abstractNumId w:val="29"/>
  </w:num>
  <w:num w:numId="25">
    <w:abstractNumId w:val="21"/>
  </w:num>
  <w:num w:numId="26">
    <w:abstractNumId w:val="35"/>
  </w:num>
  <w:num w:numId="27">
    <w:abstractNumId w:val="38"/>
  </w:num>
  <w:num w:numId="28">
    <w:abstractNumId w:val="34"/>
  </w:num>
  <w:num w:numId="29">
    <w:abstractNumId w:val="30"/>
  </w:num>
  <w:num w:numId="30">
    <w:abstractNumId w:val="24"/>
  </w:num>
  <w:num w:numId="31">
    <w:abstractNumId w:val="13"/>
  </w:num>
  <w:num w:numId="32">
    <w:abstractNumId w:val="28"/>
  </w:num>
  <w:num w:numId="33">
    <w:abstractNumId w:val="37"/>
  </w:num>
  <w:num w:numId="34">
    <w:abstractNumId w:val="27"/>
  </w:num>
  <w:num w:numId="35">
    <w:abstractNumId w:val="25"/>
  </w:num>
  <w:num w:numId="36">
    <w:abstractNumId w:val="36"/>
  </w:num>
  <w:num w:numId="37">
    <w:abstractNumId w:val="23"/>
  </w:num>
  <w:num w:numId="38">
    <w:abstractNumId w:val="22"/>
  </w:num>
  <w:num w:numId="39">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97"/>
    <w:rsid w:val="00011FB1"/>
    <w:rsid w:val="000165A6"/>
    <w:rsid w:val="0003391A"/>
    <w:rsid w:val="00057E10"/>
    <w:rsid w:val="00060A47"/>
    <w:rsid w:val="000629DB"/>
    <w:rsid w:val="000708DF"/>
    <w:rsid w:val="00072B73"/>
    <w:rsid w:val="00077055"/>
    <w:rsid w:val="000806CC"/>
    <w:rsid w:val="00081D97"/>
    <w:rsid w:val="000A4E28"/>
    <w:rsid w:val="000B7E18"/>
    <w:rsid w:val="000C5D00"/>
    <w:rsid w:val="000D0055"/>
    <w:rsid w:val="000D0BF5"/>
    <w:rsid w:val="000D36DE"/>
    <w:rsid w:val="000D4AE5"/>
    <w:rsid w:val="000D65EF"/>
    <w:rsid w:val="000E2193"/>
    <w:rsid w:val="000E24F6"/>
    <w:rsid w:val="000F0DB4"/>
    <w:rsid w:val="000F0F60"/>
    <w:rsid w:val="000F6379"/>
    <w:rsid w:val="00101C90"/>
    <w:rsid w:val="00102DF0"/>
    <w:rsid w:val="0012380D"/>
    <w:rsid w:val="00131CD9"/>
    <w:rsid w:val="00134EBA"/>
    <w:rsid w:val="00142C30"/>
    <w:rsid w:val="00151FE0"/>
    <w:rsid w:val="00152AE1"/>
    <w:rsid w:val="00162529"/>
    <w:rsid w:val="001656A5"/>
    <w:rsid w:val="001670D6"/>
    <w:rsid w:val="00167993"/>
    <w:rsid w:val="001719AE"/>
    <w:rsid w:val="00173E5A"/>
    <w:rsid w:val="001777CF"/>
    <w:rsid w:val="0018279B"/>
    <w:rsid w:val="001832B9"/>
    <w:rsid w:val="001863DA"/>
    <w:rsid w:val="00194F31"/>
    <w:rsid w:val="001D6C04"/>
    <w:rsid w:val="001D6C8F"/>
    <w:rsid w:val="001E0211"/>
    <w:rsid w:val="001E3299"/>
    <w:rsid w:val="00205360"/>
    <w:rsid w:val="002062EA"/>
    <w:rsid w:val="00224131"/>
    <w:rsid w:val="002316AA"/>
    <w:rsid w:val="00234DC3"/>
    <w:rsid w:val="00250CFC"/>
    <w:rsid w:val="00251CC4"/>
    <w:rsid w:val="00271419"/>
    <w:rsid w:val="002762DA"/>
    <w:rsid w:val="002875CE"/>
    <w:rsid w:val="002900AD"/>
    <w:rsid w:val="002A3D06"/>
    <w:rsid w:val="002A59AC"/>
    <w:rsid w:val="002A5A9C"/>
    <w:rsid w:val="002A7ABB"/>
    <w:rsid w:val="002B64D9"/>
    <w:rsid w:val="002B7140"/>
    <w:rsid w:val="002D05AC"/>
    <w:rsid w:val="002D1B2B"/>
    <w:rsid w:val="002D1BE1"/>
    <w:rsid w:val="002D36EF"/>
    <w:rsid w:val="002E07C0"/>
    <w:rsid w:val="002E19F8"/>
    <w:rsid w:val="002E729D"/>
    <w:rsid w:val="002F5320"/>
    <w:rsid w:val="002F65FD"/>
    <w:rsid w:val="00304F06"/>
    <w:rsid w:val="00306321"/>
    <w:rsid w:val="00307DA3"/>
    <w:rsid w:val="00310EA4"/>
    <w:rsid w:val="00325283"/>
    <w:rsid w:val="00333236"/>
    <w:rsid w:val="00334771"/>
    <w:rsid w:val="00337B09"/>
    <w:rsid w:val="00353885"/>
    <w:rsid w:val="003622BE"/>
    <w:rsid w:val="00372265"/>
    <w:rsid w:val="003751D5"/>
    <w:rsid w:val="00380DED"/>
    <w:rsid w:val="00386AC9"/>
    <w:rsid w:val="003A43E1"/>
    <w:rsid w:val="003A49D9"/>
    <w:rsid w:val="003A53AB"/>
    <w:rsid w:val="003B36F2"/>
    <w:rsid w:val="003B5874"/>
    <w:rsid w:val="003B7220"/>
    <w:rsid w:val="003C4AC3"/>
    <w:rsid w:val="003C69D1"/>
    <w:rsid w:val="003E7880"/>
    <w:rsid w:val="003F1BFE"/>
    <w:rsid w:val="0040561F"/>
    <w:rsid w:val="00414D3D"/>
    <w:rsid w:val="00423A6D"/>
    <w:rsid w:val="00436DF6"/>
    <w:rsid w:val="00437B36"/>
    <w:rsid w:val="00437C94"/>
    <w:rsid w:val="00440271"/>
    <w:rsid w:val="00442580"/>
    <w:rsid w:val="00465FE2"/>
    <w:rsid w:val="00470CCA"/>
    <w:rsid w:val="00486591"/>
    <w:rsid w:val="00491A96"/>
    <w:rsid w:val="00491F72"/>
    <w:rsid w:val="0049392A"/>
    <w:rsid w:val="004B1AE4"/>
    <w:rsid w:val="004D0F73"/>
    <w:rsid w:val="004D1B3E"/>
    <w:rsid w:val="004E07FB"/>
    <w:rsid w:val="004E3D33"/>
    <w:rsid w:val="0052417E"/>
    <w:rsid w:val="00530976"/>
    <w:rsid w:val="00536042"/>
    <w:rsid w:val="0054001C"/>
    <w:rsid w:val="0054050F"/>
    <w:rsid w:val="00543385"/>
    <w:rsid w:val="0055025A"/>
    <w:rsid w:val="005670C0"/>
    <w:rsid w:val="00576C1C"/>
    <w:rsid w:val="005822C6"/>
    <w:rsid w:val="005918EF"/>
    <w:rsid w:val="00597D8F"/>
    <w:rsid w:val="005A5AB0"/>
    <w:rsid w:val="005B56AD"/>
    <w:rsid w:val="005C0912"/>
    <w:rsid w:val="005E5B5F"/>
    <w:rsid w:val="005E6231"/>
    <w:rsid w:val="00606BF9"/>
    <w:rsid w:val="00612B56"/>
    <w:rsid w:val="00634548"/>
    <w:rsid w:val="00634B7E"/>
    <w:rsid w:val="0064023B"/>
    <w:rsid w:val="006445CF"/>
    <w:rsid w:val="006508E5"/>
    <w:rsid w:val="00657CA4"/>
    <w:rsid w:val="006628CA"/>
    <w:rsid w:val="00677D37"/>
    <w:rsid w:val="00681AF8"/>
    <w:rsid w:val="00682E1B"/>
    <w:rsid w:val="006861BB"/>
    <w:rsid w:val="00687FDB"/>
    <w:rsid w:val="00692100"/>
    <w:rsid w:val="006A722F"/>
    <w:rsid w:val="006A77FD"/>
    <w:rsid w:val="006B4B51"/>
    <w:rsid w:val="006D50C5"/>
    <w:rsid w:val="006D7E55"/>
    <w:rsid w:val="006E2024"/>
    <w:rsid w:val="00703AA5"/>
    <w:rsid w:val="00706D2D"/>
    <w:rsid w:val="00712F64"/>
    <w:rsid w:val="00714C32"/>
    <w:rsid w:val="00724184"/>
    <w:rsid w:val="00725EAD"/>
    <w:rsid w:val="007271F6"/>
    <w:rsid w:val="0074544C"/>
    <w:rsid w:val="00751C6D"/>
    <w:rsid w:val="0075247B"/>
    <w:rsid w:val="007568E0"/>
    <w:rsid w:val="00774A8F"/>
    <w:rsid w:val="0079334E"/>
    <w:rsid w:val="007B1679"/>
    <w:rsid w:val="007B6D87"/>
    <w:rsid w:val="007B715C"/>
    <w:rsid w:val="007B7167"/>
    <w:rsid w:val="007C382B"/>
    <w:rsid w:val="007D3283"/>
    <w:rsid w:val="007D7FED"/>
    <w:rsid w:val="007E4021"/>
    <w:rsid w:val="007E79A7"/>
    <w:rsid w:val="00805CD7"/>
    <w:rsid w:val="0080668A"/>
    <w:rsid w:val="00810CEF"/>
    <w:rsid w:val="0083397C"/>
    <w:rsid w:val="008452BB"/>
    <w:rsid w:val="00867963"/>
    <w:rsid w:val="00875A5A"/>
    <w:rsid w:val="0089719E"/>
    <w:rsid w:val="008B443B"/>
    <w:rsid w:val="008C03A6"/>
    <w:rsid w:val="008D0642"/>
    <w:rsid w:val="008D2D3C"/>
    <w:rsid w:val="008D6452"/>
    <w:rsid w:val="008E395D"/>
    <w:rsid w:val="008F1297"/>
    <w:rsid w:val="008F467F"/>
    <w:rsid w:val="008F48A7"/>
    <w:rsid w:val="009014BE"/>
    <w:rsid w:val="009053D0"/>
    <w:rsid w:val="00914E9C"/>
    <w:rsid w:val="0092032F"/>
    <w:rsid w:val="009322F9"/>
    <w:rsid w:val="009359BC"/>
    <w:rsid w:val="00942CB4"/>
    <w:rsid w:val="00954594"/>
    <w:rsid w:val="009601E0"/>
    <w:rsid w:val="0096731D"/>
    <w:rsid w:val="00973DEC"/>
    <w:rsid w:val="0097460F"/>
    <w:rsid w:val="0098141B"/>
    <w:rsid w:val="00984E30"/>
    <w:rsid w:val="00992B24"/>
    <w:rsid w:val="009A4B86"/>
    <w:rsid w:val="009B30BE"/>
    <w:rsid w:val="009B70DB"/>
    <w:rsid w:val="009C4C1C"/>
    <w:rsid w:val="009C566E"/>
    <w:rsid w:val="009C73F5"/>
    <w:rsid w:val="009D2852"/>
    <w:rsid w:val="009E0BD7"/>
    <w:rsid w:val="009E1670"/>
    <w:rsid w:val="009E5B50"/>
    <w:rsid w:val="00A0452C"/>
    <w:rsid w:val="00A07A25"/>
    <w:rsid w:val="00A15A49"/>
    <w:rsid w:val="00A16DAF"/>
    <w:rsid w:val="00A243AD"/>
    <w:rsid w:val="00A25375"/>
    <w:rsid w:val="00A47418"/>
    <w:rsid w:val="00A52149"/>
    <w:rsid w:val="00A573EB"/>
    <w:rsid w:val="00A636BC"/>
    <w:rsid w:val="00A64232"/>
    <w:rsid w:val="00A70FD6"/>
    <w:rsid w:val="00A841B6"/>
    <w:rsid w:val="00A8425C"/>
    <w:rsid w:val="00A85431"/>
    <w:rsid w:val="00A86487"/>
    <w:rsid w:val="00A86F8C"/>
    <w:rsid w:val="00A944BB"/>
    <w:rsid w:val="00A949EA"/>
    <w:rsid w:val="00A94D07"/>
    <w:rsid w:val="00AA41C6"/>
    <w:rsid w:val="00AE1A6D"/>
    <w:rsid w:val="00AF1C2A"/>
    <w:rsid w:val="00AF433B"/>
    <w:rsid w:val="00B01C70"/>
    <w:rsid w:val="00B1220B"/>
    <w:rsid w:val="00B177F1"/>
    <w:rsid w:val="00B17F84"/>
    <w:rsid w:val="00B33345"/>
    <w:rsid w:val="00B40988"/>
    <w:rsid w:val="00B43701"/>
    <w:rsid w:val="00B43806"/>
    <w:rsid w:val="00B542B1"/>
    <w:rsid w:val="00B56321"/>
    <w:rsid w:val="00B72767"/>
    <w:rsid w:val="00B80FDF"/>
    <w:rsid w:val="00B86CF9"/>
    <w:rsid w:val="00B903CD"/>
    <w:rsid w:val="00B90871"/>
    <w:rsid w:val="00B95CAE"/>
    <w:rsid w:val="00BB5720"/>
    <w:rsid w:val="00BC3535"/>
    <w:rsid w:val="00BC5763"/>
    <w:rsid w:val="00BE2B44"/>
    <w:rsid w:val="00BF147E"/>
    <w:rsid w:val="00C0009C"/>
    <w:rsid w:val="00C20C0C"/>
    <w:rsid w:val="00C26B8A"/>
    <w:rsid w:val="00C33915"/>
    <w:rsid w:val="00C3508E"/>
    <w:rsid w:val="00C3530F"/>
    <w:rsid w:val="00C42D39"/>
    <w:rsid w:val="00C506C5"/>
    <w:rsid w:val="00C61584"/>
    <w:rsid w:val="00C77B37"/>
    <w:rsid w:val="00C87B64"/>
    <w:rsid w:val="00CA478B"/>
    <w:rsid w:val="00CB1383"/>
    <w:rsid w:val="00CB31B1"/>
    <w:rsid w:val="00CD2AE6"/>
    <w:rsid w:val="00CD4DC5"/>
    <w:rsid w:val="00CE7695"/>
    <w:rsid w:val="00D042A8"/>
    <w:rsid w:val="00D07D2F"/>
    <w:rsid w:val="00D122FD"/>
    <w:rsid w:val="00D2433C"/>
    <w:rsid w:val="00D2656F"/>
    <w:rsid w:val="00D4718A"/>
    <w:rsid w:val="00D54946"/>
    <w:rsid w:val="00D55112"/>
    <w:rsid w:val="00D55FFA"/>
    <w:rsid w:val="00D732FE"/>
    <w:rsid w:val="00D7590B"/>
    <w:rsid w:val="00D80401"/>
    <w:rsid w:val="00D92D09"/>
    <w:rsid w:val="00DA6F2C"/>
    <w:rsid w:val="00DB14AC"/>
    <w:rsid w:val="00DC7531"/>
    <w:rsid w:val="00DD48A5"/>
    <w:rsid w:val="00DD63CB"/>
    <w:rsid w:val="00DD75D4"/>
    <w:rsid w:val="00DE193E"/>
    <w:rsid w:val="00DE5BD6"/>
    <w:rsid w:val="00DE69DD"/>
    <w:rsid w:val="00DE7D71"/>
    <w:rsid w:val="00DF0B81"/>
    <w:rsid w:val="00DF1752"/>
    <w:rsid w:val="00DF3EF5"/>
    <w:rsid w:val="00E03859"/>
    <w:rsid w:val="00E07A68"/>
    <w:rsid w:val="00E36F46"/>
    <w:rsid w:val="00E37074"/>
    <w:rsid w:val="00E42F3E"/>
    <w:rsid w:val="00E456AE"/>
    <w:rsid w:val="00E53B81"/>
    <w:rsid w:val="00E55790"/>
    <w:rsid w:val="00E71576"/>
    <w:rsid w:val="00E93D27"/>
    <w:rsid w:val="00EA22B8"/>
    <w:rsid w:val="00EA2630"/>
    <w:rsid w:val="00EA6AE3"/>
    <w:rsid w:val="00EB2E00"/>
    <w:rsid w:val="00EB50BC"/>
    <w:rsid w:val="00EC1DAE"/>
    <w:rsid w:val="00ED06BE"/>
    <w:rsid w:val="00EF146E"/>
    <w:rsid w:val="00EF7015"/>
    <w:rsid w:val="00F01193"/>
    <w:rsid w:val="00F12236"/>
    <w:rsid w:val="00F13E20"/>
    <w:rsid w:val="00F271B7"/>
    <w:rsid w:val="00F316AF"/>
    <w:rsid w:val="00F370AF"/>
    <w:rsid w:val="00F552D9"/>
    <w:rsid w:val="00F56342"/>
    <w:rsid w:val="00F56B81"/>
    <w:rsid w:val="00F57BC2"/>
    <w:rsid w:val="00F80993"/>
    <w:rsid w:val="00F90EC2"/>
    <w:rsid w:val="00FA35DA"/>
    <w:rsid w:val="00FB2263"/>
    <w:rsid w:val="00FB660C"/>
    <w:rsid w:val="00FE3670"/>
    <w:rsid w:val="00FF3EF3"/>
    <w:rsid w:val="00FF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6ED21BF4-038A-433D-B8A4-E7EE3282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28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9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D97"/>
    <w:pPr>
      <w:ind w:left="720"/>
      <w:contextualSpacing/>
    </w:pPr>
  </w:style>
  <w:style w:type="paragraph" w:styleId="Header">
    <w:name w:val="header"/>
    <w:basedOn w:val="Normal"/>
    <w:link w:val="HeaderChar"/>
    <w:uiPriority w:val="99"/>
    <w:unhideWhenUsed/>
    <w:rsid w:val="00081D97"/>
    <w:pPr>
      <w:tabs>
        <w:tab w:val="center" w:pos="4320"/>
        <w:tab w:val="right" w:pos="8640"/>
      </w:tabs>
    </w:pPr>
  </w:style>
  <w:style w:type="character" w:customStyle="1" w:styleId="HeaderChar">
    <w:name w:val="Header Char"/>
    <w:basedOn w:val="DefaultParagraphFont"/>
    <w:link w:val="Header"/>
    <w:uiPriority w:val="99"/>
    <w:rsid w:val="00081D97"/>
    <w:rPr>
      <w:rFonts w:eastAsiaTheme="minorEastAsia"/>
      <w:sz w:val="24"/>
      <w:szCs w:val="24"/>
    </w:rPr>
  </w:style>
  <w:style w:type="paragraph" w:styleId="Footer">
    <w:name w:val="footer"/>
    <w:basedOn w:val="Normal"/>
    <w:link w:val="FooterChar"/>
    <w:uiPriority w:val="99"/>
    <w:unhideWhenUsed/>
    <w:rsid w:val="00081D97"/>
    <w:pPr>
      <w:tabs>
        <w:tab w:val="center" w:pos="4320"/>
        <w:tab w:val="right" w:pos="8640"/>
      </w:tabs>
    </w:pPr>
  </w:style>
  <w:style w:type="character" w:customStyle="1" w:styleId="FooterChar">
    <w:name w:val="Footer Char"/>
    <w:basedOn w:val="DefaultParagraphFont"/>
    <w:link w:val="Footer"/>
    <w:uiPriority w:val="99"/>
    <w:rsid w:val="00081D97"/>
    <w:rPr>
      <w:rFonts w:eastAsiaTheme="minorEastAsia"/>
      <w:sz w:val="24"/>
      <w:szCs w:val="24"/>
    </w:rPr>
  </w:style>
  <w:style w:type="character" w:styleId="CommentReference">
    <w:name w:val="annotation reference"/>
    <w:basedOn w:val="DefaultParagraphFont"/>
    <w:uiPriority w:val="99"/>
    <w:semiHidden/>
    <w:unhideWhenUsed/>
    <w:rsid w:val="00081D97"/>
    <w:rPr>
      <w:sz w:val="18"/>
      <w:szCs w:val="18"/>
    </w:rPr>
  </w:style>
  <w:style w:type="paragraph" w:styleId="CommentText">
    <w:name w:val="annotation text"/>
    <w:basedOn w:val="Normal"/>
    <w:link w:val="CommentTextChar"/>
    <w:uiPriority w:val="99"/>
    <w:semiHidden/>
    <w:unhideWhenUsed/>
    <w:rsid w:val="00081D97"/>
  </w:style>
  <w:style w:type="character" w:customStyle="1" w:styleId="CommentTextChar">
    <w:name w:val="Comment Text Char"/>
    <w:basedOn w:val="DefaultParagraphFont"/>
    <w:link w:val="CommentText"/>
    <w:uiPriority w:val="99"/>
    <w:semiHidden/>
    <w:rsid w:val="00081D97"/>
    <w:rPr>
      <w:rFonts w:eastAsiaTheme="minorEastAsia"/>
      <w:sz w:val="24"/>
      <w:szCs w:val="24"/>
    </w:rPr>
  </w:style>
  <w:style w:type="paragraph" w:styleId="BalloonText">
    <w:name w:val="Balloon Text"/>
    <w:basedOn w:val="Normal"/>
    <w:link w:val="BalloonTextChar"/>
    <w:uiPriority w:val="99"/>
    <w:semiHidden/>
    <w:unhideWhenUsed/>
    <w:rsid w:val="00081D97"/>
    <w:rPr>
      <w:rFonts w:ascii="Tahoma" w:hAnsi="Tahoma" w:cs="Tahoma"/>
      <w:sz w:val="16"/>
      <w:szCs w:val="16"/>
    </w:rPr>
  </w:style>
  <w:style w:type="character" w:customStyle="1" w:styleId="BalloonTextChar">
    <w:name w:val="Balloon Text Char"/>
    <w:basedOn w:val="DefaultParagraphFont"/>
    <w:link w:val="BalloonText"/>
    <w:uiPriority w:val="99"/>
    <w:semiHidden/>
    <w:rsid w:val="00081D97"/>
    <w:rPr>
      <w:rFonts w:ascii="Tahoma" w:eastAsiaTheme="minorEastAsia" w:hAnsi="Tahoma" w:cs="Tahoma"/>
      <w:sz w:val="16"/>
      <w:szCs w:val="16"/>
    </w:rPr>
  </w:style>
  <w:style w:type="character" w:customStyle="1" w:styleId="tx">
    <w:name w:val="tx"/>
    <w:basedOn w:val="DefaultParagraphFont"/>
    <w:rsid w:val="00437C94"/>
  </w:style>
  <w:style w:type="paragraph" w:styleId="CommentSubject">
    <w:name w:val="annotation subject"/>
    <w:basedOn w:val="CommentText"/>
    <w:next w:val="CommentText"/>
    <w:link w:val="CommentSubjectChar"/>
    <w:uiPriority w:val="99"/>
    <w:semiHidden/>
    <w:unhideWhenUsed/>
    <w:rsid w:val="00E36F46"/>
    <w:rPr>
      <w:b/>
      <w:bCs/>
      <w:sz w:val="20"/>
      <w:szCs w:val="20"/>
    </w:rPr>
  </w:style>
  <w:style w:type="character" w:customStyle="1" w:styleId="CommentSubjectChar">
    <w:name w:val="Comment Subject Char"/>
    <w:basedOn w:val="CommentTextChar"/>
    <w:link w:val="CommentSubject"/>
    <w:uiPriority w:val="99"/>
    <w:semiHidden/>
    <w:rsid w:val="00E36F46"/>
    <w:rPr>
      <w:rFonts w:eastAsiaTheme="minorEastAsia"/>
      <w:b/>
      <w:bCs/>
      <w:sz w:val="20"/>
      <w:szCs w:val="20"/>
    </w:rPr>
  </w:style>
  <w:style w:type="numbering" w:customStyle="1" w:styleId="Style1">
    <w:name w:val="Style1"/>
    <w:uiPriority w:val="99"/>
    <w:rsid w:val="00DC7531"/>
    <w:pPr>
      <w:numPr>
        <w:numId w:val="25"/>
      </w:numPr>
    </w:pPr>
  </w:style>
  <w:style w:type="paragraph" w:styleId="NormalWeb">
    <w:name w:val="Normal (Web)"/>
    <w:basedOn w:val="Normal"/>
    <w:uiPriority w:val="99"/>
    <w:semiHidden/>
    <w:unhideWhenUsed/>
    <w:rsid w:val="000D0BF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D0BF5"/>
  </w:style>
  <w:style w:type="paragraph" w:styleId="PlainText">
    <w:name w:val="Plain Text"/>
    <w:basedOn w:val="Normal"/>
    <w:link w:val="PlainTextChar"/>
    <w:uiPriority w:val="99"/>
    <w:unhideWhenUsed/>
    <w:rsid w:val="00333236"/>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3323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743771">
      <w:bodyDiv w:val="1"/>
      <w:marLeft w:val="0"/>
      <w:marRight w:val="0"/>
      <w:marTop w:val="0"/>
      <w:marBottom w:val="0"/>
      <w:divBdr>
        <w:top w:val="none" w:sz="0" w:space="0" w:color="auto"/>
        <w:left w:val="none" w:sz="0" w:space="0" w:color="auto"/>
        <w:bottom w:val="none" w:sz="0" w:space="0" w:color="auto"/>
        <w:right w:val="none" w:sz="0" w:space="0" w:color="auto"/>
      </w:divBdr>
      <w:divsChild>
        <w:div w:id="1494183658">
          <w:marLeft w:val="0"/>
          <w:marRight w:val="0"/>
          <w:marTop w:val="0"/>
          <w:marBottom w:val="0"/>
          <w:divBdr>
            <w:top w:val="none" w:sz="0" w:space="0" w:color="auto"/>
            <w:left w:val="none" w:sz="0" w:space="0" w:color="auto"/>
            <w:bottom w:val="none" w:sz="0" w:space="0" w:color="auto"/>
            <w:right w:val="none" w:sz="0" w:space="0" w:color="auto"/>
          </w:divBdr>
        </w:div>
        <w:div w:id="571505083">
          <w:marLeft w:val="0"/>
          <w:marRight w:val="0"/>
          <w:marTop w:val="0"/>
          <w:marBottom w:val="0"/>
          <w:divBdr>
            <w:top w:val="none" w:sz="0" w:space="0" w:color="auto"/>
            <w:left w:val="none" w:sz="0" w:space="0" w:color="auto"/>
            <w:bottom w:val="none" w:sz="0" w:space="0" w:color="auto"/>
            <w:right w:val="none" w:sz="0" w:space="0" w:color="auto"/>
          </w:divBdr>
        </w:div>
        <w:div w:id="448084396">
          <w:marLeft w:val="0"/>
          <w:marRight w:val="0"/>
          <w:marTop w:val="0"/>
          <w:marBottom w:val="0"/>
          <w:divBdr>
            <w:top w:val="none" w:sz="0" w:space="0" w:color="auto"/>
            <w:left w:val="none" w:sz="0" w:space="0" w:color="auto"/>
            <w:bottom w:val="none" w:sz="0" w:space="0" w:color="auto"/>
            <w:right w:val="none" w:sz="0" w:space="0" w:color="auto"/>
          </w:divBdr>
        </w:div>
      </w:divsChild>
    </w:div>
    <w:div w:id="1696079349">
      <w:bodyDiv w:val="1"/>
      <w:marLeft w:val="0"/>
      <w:marRight w:val="0"/>
      <w:marTop w:val="0"/>
      <w:marBottom w:val="0"/>
      <w:divBdr>
        <w:top w:val="none" w:sz="0" w:space="0" w:color="auto"/>
        <w:left w:val="none" w:sz="0" w:space="0" w:color="auto"/>
        <w:bottom w:val="none" w:sz="0" w:space="0" w:color="auto"/>
        <w:right w:val="none" w:sz="0" w:space="0" w:color="auto"/>
      </w:divBdr>
    </w:div>
    <w:div w:id="1827236566">
      <w:bodyDiv w:val="1"/>
      <w:marLeft w:val="0"/>
      <w:marRight w:val="0"/>
      <w:marTop w:val="0"/>
      <w:marBottom w:val="0"/>
      <w:divBdr>
        <w:top w:val="none" w:sz="0" w:space="0" w:color="auto"/>
        <w:left w:val="none" w:sz="0" w:space="0" w:color="auto"/>
        <w:bottom w:val="none" w:sz="0" w:space="0" w:color="auto"/>
        <w:right w:val="none" w:sz="0" w:space="0" w:color="auto"/>
      </w:divBdr>
    </w:div>
    <w:div w:id="2114283990">
      <w:bodyDiv w:val="1"/>
      <w:marLeft w:val="0"/>
      <w:marRight w:val="0"/>
      <w:marTop w:val="0"/>
      <w:marBottom w:val="0"/>
      <w:divBdr>
        <w:top w:val="none" w:sz="0" w:space="0" w:color="auto"/>
        <w:left w:val="none" w:sz="0" w:space="0" w:color="auto"/>
        <w:bottom w:val="none" w:sz="0" w:space="0" w:color="auto"/>
        <w:right w:val="none" w:sz="0" w:space="0" w:color="auto"/>
      </w:divBdr>
      <w:divsChild>
        <w:div w:id="682829846">
          <w:marLeft w:val="0"/>
          <w:marRight w:val="0"/>
          <w:marTop w:val="0"/>
          <w:marBottom w:val="0"/>
          <w:divBdr>
            <w:top w:val="none" w:sz="0" w:space="0" w:color="auto"/>
            <w:left w:val="none" w:sz="0" w:space="0" w:color="auto"/>
            <w:bottom w:val="none" w:sz="0" w:space="0" w:color="auto"/>
            <w:right w:val="none" w:sz="0" w:space="0" w:color="auto"/>
          </w:divBdr>
        </w:div>
        <w:div w:id="1859348116">
          <w:marLeft w:val="0"/>
          <w:marRight w:val="0"/>
          <w:marTop w:val="0"/>
          <w:marBottom w:val="0"/>
          <w:divBdr>
            <w:top w:val="none" w:sz="0" w:space="0" w:color="auto"/>
            <w:left w:val="none" w:sz="0" w:space="0" w:color="auto"/>
            <w:bottom w:val="none" w:sz="0" w:space="0" w:color="auto"/>
            <w:right w:val="none" w:sz="0" w:space="0" w:color="auto"/>
          </w:divBdr>
        </w:div>
        <w:div w:id="1729835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B623-606C-4ACE-978A-4C4FCC6B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7799</Words>
  <Characters>44456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W. Matt</dc:creator>
  <cp:lastModifiedBy>Mitchell, Adreinne</cp:lastModifiedBy>
  <cp:revision>2</cp:revision>
  <cp:lastPrinted>2015-04-20T17:22:00Z</cp:lastPrinted>
  <dcterms:created xsi:type="dcterms:W3CDTF">2017-12-04T00:24:00Z</dcterms:created>
  <dcterms:modified xsi:type="dcterms:W3CDTF">2017-12-04T00:24:00Z</dcterms:modified>
</cp:coreProperties>
</file>