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EE8D" w14:textId="092BED9B" w:rsidR="00916B27" w:rsidRDefault="00916B27" w:rsidP="004956A4">
      <w:pPr>
        <w:spacing w:before="12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Procedural </w:t>
      </w:r>
    </w:p>
    <w:p w14:paraId="150E0A10" w14:textId="405D4654" w:rsidR="004956A4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16074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6566">
        <w:rPr>
          <w:sz w:val="20"/>
          <w:szCs w:val="20"/>
        </w:rPr>
        <w:tab/>
      </w:r>
      <w:r w:rsidR="004956A4" w:rsidRPr="004956A4">
        <w:rPr>
          <w:sz w:val="20"/>
          <w:szCs w:val="20"/>
        </w:rPr>
        <w:t xml:space="preserve">Dual units (I-P and SI) </w:t>
      </w:r>
      <w:r w:rsidR="00B867FD">
        <w:rPr>
          <w:sz w:val="20"/>
          <w:szCs w:val="20"/>
        </w:rPr>
        <w:t xml:space="preserve">are </w:t>
      </w:r>
      <w:r w:rsidR="004956A4" w:rsidRPr="004956A4">
        <w:rPr>
          <w:sz w:val="20"/>
          <w:szCs w:val="20"/>
        </w:rPr>
        <w:t>included for all measurements (</w:t>
      </w:r>
      <w:hyperlink r:id="rId5" w:history="1">
        <w:r w:rsidR="004956A4" w:rsidRPr="004956A4">
          <w:rPr>
            <w:rStyle w:val="Hyperlink"/>
            <w:sz w:val="20"/>
            <w:szCs w:val="20"/>
          </w:rPr>
          <w:t>ASHRAE Units Policy</w:t>
        </w:r>
      </w:hyperlink>
      <w:r w:rsidR="004956A4" w:rsidRPr="004956A4">
        <w:rPr>
          <w:sz w:val="20"/>
          <w:szCs w:val="20"/>
        </w:rPr>
        <w:t>)</w:t>
      </w:r>
      <w:r w:rsidR="00B867FD">
        <w:rPr>
          <w:sz w:val="20"/>
          <w:szCs w:val="20"/>
        </w:rPr>
        <w:t>.</w:t>
      </w:r>
    </w:p>
    <w:p w14:paraId="085BC276" w14:textId="5AE57B18" w:rsidR="00916B27" w:rsidRPr="004956A4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117639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6566">
        <w:rPr>
          <w:sz w:val="20"/>
          <w:szCs w:val="20"/>
        </w:rPr>
        <w:tab/>
      </w:r>
      <w:r w:rsidR="00916B27" w:rsidRPr="004956A4">
        <w:rPr>
          <w:sz w:val="20"/>
          <w:szCs w:val="20"/>
        </w:rPr>
        <w:t xml:space="preserve">Permissions </w:t>
      </w:r>
      <w:r w:rsidR="00B867FD">
        <w:rPr>
          <w:sz w:val="20"/>
          <w:szCs w:val="20"/>
        </w:rPr>
        <w:t xml:space="preserve">are </w:t>
      </w:r>
      <w:r w:rsidR="00916B27" w:rsidRPr="004956A4">
        <w:rPr>
          <w:sz w:val="20"/>
          <w:szCs w:val="20"/>
        </w:rPr>
        <w:t>obtained for use of non-ASHRAE copyrighted material</w:t>
      </w:r>
      <w:r w:rsidR="00B867FD">
        <w:rPr>
          <w:sz w:val="20"/>
          <w:szCs w:val="20"/>
        </w:rPr>
        <w:t>.</w:t>
      </w:r>
    </w:p>
    <w:p w14:paraId="0987E3B4" w14:textId="30B01B6A" w:rsidR="00916B27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191261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6566">
        <w:rPr>
          <w:sz w:val="20"/>
          <w:szCs w:val="20"/>
        </w:rPr>
        <w:tab/>
        <w:t xml:space="preserve">Code-intended documents </w:t>
      </w:r>
      <w:r w:rsidR="00B867FD">
        <w:rPr>
          <w:sz w:val="20"/>
          <w:szCs w:val="20"/>
        </w:rPr>
        <w:t xml:space="preserve">are </w:t>
      </w:r>
      <w:r w:rsidR="006E6566">
        <w:rPr>
          <w:sz w:val="20"/>
          <w:szCs w:val="20"/>
        </w:rPr>
        <w:t>w</w:t>
      </w:r>
      <w:r w:rsidR="00916B27" w:rsidRPr="00A841D1">
        <w:rPr>
          <w:sz w:val="20"/>
          <w:szCs w:val="20"/>
        </w:rPr>
        <w:t>ritten in appropriate code language with simple and direct prescriptive methods for compliance, with one or more alternative performance path (</w:t>
      </w:r>
      <w:hyperlink r:id="rId6" w:history="1">
        <w:r w:rsidR="00916B27" w:rsidRPr="00916B27">
          <w:rPr>
            <w:rStyle w:val="Hyperlink"/>
            <w:sz w:val="20"/>
            <w:szCs w:val="20"/>
          </w:rPr>
          <w:t>ASHRAE Guide to Writing Standards in Code-Intended Language</w:t>
        </w:r>
      </w:hyperlink>
      <w:r w:rsidR="00916B27" w:rsidRPr="00916B27">
        <w:rPr>
          <w:sz w:val="20"/>
          <w:szCs w:val="20"/>
        </w:rPr>
        <w:t>)</w:t>
      </w:r>
      <w:r w:rsidR="00B867FD">
        <w:rPr>
          <w:sz w:val="20"/>
          <w:szCs w:val="20"/>
        </w:rPr>
        <w:t>.</w:t>
      </w:r>
    </w:p>
    <w:p w14:paraId="516F1E97" w14:textId="6F188739" w:rsidR="00916B27" w:rsidRPr="00916B27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57813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6566">
        <w:rPr>
          <w:sz w:val="20"/>
          <w:szCs w:val="20"/>
        </w:rPr>
        <w:tab/>
      </w:r>
      <w:r w:rsidR="00916B27" w:rsidRPr="004956A4">
        <w:rPr>
          <w:sz w:val="20"/>
          <w:szCs w:val="20"/>
        </w:rPr>
        <w:t xml:space="preserve">Document conforms to ASHRAE’s </w:t>
      </w:r>
      <w:hyperlink r:id="rId7" w:history="1">
        <w:r w:rsidR="00916B27" w:rsidRPr="004956A4">
          <w:rPr>
            <w:rStyle w:val="Hyperlink"/>
            <w:sz w:val="20"/>
            <w:szCs w:val="20"/>
          </w:rPr>
          <w:t>Mandatory Language Policy</w:t>
        </w:r>
      </w:hyperlink>
      <w:r w:rsidR="00B867FD">
        <w:t>.</w:t>
      </w:r>
    </w:p>
    <w:p w14:paraId="4B134FA1" w14:textId="1B088E1F" w:rsidR="00916B27" w:rsidRPr="00A841D1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162635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6566">
        <w:rPr>
          <w:sz w:val="20"/>
          <w:szCs w:val="20"/>
        </w:rPr>
        <w:tab/>
      </w:r>
      <w:r w:rsidR="00916B27">
        <w:rPr>
          <w:sz w:val="20"/>
          <w:szCs w:val="20"/>
        </w:rPr>
        <w:t xml:space="preserve">Document </w:t>
      </w:r>
      <w:r w:rsidR="00916B27" w:rsidRPr="00A841D1">
        <w:rPr>
          <w:sz w:val="20"/>
          <w:szCs w:val="20"/>
        </w:rPr>
        <w:t>does not require use of proprietary materials to the exclusion of others</w:t>
      </w:r>
      <w:r w:rsidR="00916B27">
        <w:rPr>
          <w:sz w:val="20"/>
          <w:szCs w:val="20"/>
        </w:rPr>
        <w:t xml:space="preserve"> </w:t>
      </w:r>
      <w:hyperlink r:id="rId8" w:history="1">
        <w:r w:rsidR="00916B27" w:rsidRPr="00916B27">
          <w:rPr>
            <w:rStyle w:val="Hyperlink"/>
            <w:sz w:val="20"/>
            <w:szCs w:val="20"/>
          </w:rPr>
          <w:t>(ASHRAE Commercialism Policy</w:t>
        </w:r>
      </w:hyperlink>
      <w:r w:rsidR="00B867FD">
        <w:t>.</w:t>
      </w:r>
    </w:p>
    <w:p w14:paraId="6035AB7B" w14:textId="3240EAD8" w:rsidR="004956A4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190009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6566">
        <w:rPr>
          <w:sz w:val="20"/>
          <w:szCs w:val="20"/>
        </w:rPr>
        <w:tab/>
      </w:r>
      <w:r w:rsidR="00916B27">
        <w:rPr>
          <w:sz w:val="20"/>
          <w:szCs w:val="20"/>
        </w:rPr>
        <w:t xml:space="preserve">Document </w:t>
      </w:r>
      <w:r w:rsidR="00916B27" w:rsidRPr="00A841D1">
        <w:rPr>
          <w:sz w:val="20"/>
          <w:szCs w:val="20"/>
        </w:rPr>
        <w:t xml:space="preserve">does not prescribe </w:t>
      </w:r>
      <w:r w:rsidR="00916B27">
        <w:rPr>
          <w:sz w:val="20"/>
          <w:szCs w:val="20"/>
        </w:rPr>
        <w:t>use of any</w:t>
      </w:r>
      <w:r w:rsidR="00916B27" w:rsidRPr="00A841D1">
        <w:rPr>
          <w:sz w:val="20"/>
          <w:szCs w:val="20"/>
        </w:rPr>
        <w:t xml:space="preserve"> proprietary agency for quality control or testing to the exclusion of othe</w:t>
      </w:r>
      <w:r w:rsidR="00916B27">
        <w:rPr>
          <w:sz w:val="20"/>
          <w:szCs w:val="20"/>
        </w:rPr>
        <w:t>rs</w:t>
      </w:r>
      <w:r w:rsidR="00B867FD">
        <w:rPr>
          <w:sz w:val="20"/>
          <w:szCs w:val="20"/>
        </w:rPr>
        <w:t>.</w:t>
      </w:r>
    </w:p>
    <w:p w14:paraId="7D00B800" w14:textId="77777777" w:rsidR="00916B27" w:rsidRDefault="00916B27" w:rsidP="00A841D1">
      <w:pPr>
        <w:spacing w:before="120" w:after="120" w:line="240" w:lineRule="auto"/>
        <w:rPr>
          <w:sz w:val="20"/>
          <w:szCs w:val="20"/>
        </w:rPr>
      </w:pPr>
    </w:p>
    <w:p w14:paraId="7BD79C0C" w14:textId="10CE1F6D" w:rsidR="006E6566" w:rsidRDefault="006E6566" w:rsidP="00A841D1">
      <w:pPr>
        <w:spacing w:before="120" w:after="120" w:line="240" w:lineRule="auto"/>
        <w:rPr>
          <w:b/>
          <w:bCs/>
          <w:sz w:val="20"/>
          <w:szCs w:val="20"/>
        </w:rPr>
      </w:pPr>
      <w:r w:rsidRPr="006E6566">
        <w:rPr>
          <w:b/>
          <w:bCs/>
          <w:sz w:val="20"/>
          <w:szCs w:val="20"/>
        </w:rPr>
        <w:t>Text</w:t>
      </w:r>
    </w:p>
    <w:p w14:paraId="5A631512" w14:textId="18DE833E" w:rsidR="00A57447" w:rsidRDefault="00FD79B5" w:rsidP="00A57447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157442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4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447">
        <w:rPr>
          <w:sz w:val="20"/>
          <w:szCs w:val="20"/>
        </w:rPr>
        <w:tab/>
        <w:t xml:space="preserve">Text has been reviewed and revised by the author </w:t>
      </w:r>
      <w:r w:rsidR="007A12FC">
        <w:rPr>
          <w:sz w:val="20"/>
          <w:szCs w:val="20"/>
        </w:rPr>
        <w:t xml:space="preserve">(or at least one other committee member) </w:t>
      </w:r>
      <w:r w:rsidR="00A57447">
        <w:rPr>
          <w:sz w:val="20"/>
          <w:szCs w:val="20"/>
        </w:rPr>
        <w:t>for clarity, consistency, and usability.</w:t>
      </w:r>
    </w:p>
    <w:p w14:paraId="000EBA4A" w14:textId="644A27B7" w:rsidR="004956A4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21510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680F">
        <w:rPr>
          <w:sz w:val="20"/>
          <w:szCs w:val="20"/>
        </w:rPr>
        <w:tab/>
        <w:t>D</w:t>
      </w:r>
      <w:r w:rsidR="006E6566" w:rsidRPr="006E6566">
        <w:rPr>
          <w:sz w:val="20"/>
          <w:szCs w:val="20"/>
        </w:rPr>
        <w:t>efinition</w:t>
      </w:r>
      <w:r w:rsidR="006E6566">
        <w:rPr>
          <w:sz w:val="20"/>
          <w:szCs w:val="20"/>
        </w:rPr>
        <w:t>s don’t</w:t>
      </w:r>
      <w:r w:rsidR="004956A4" w:rsidRPr="00A841D1">
        <w:rPr>
          <w:sz w:val="20"/>
          <w:szCs w:val="20"/>
        </w:rPr>
        <w:t xml:space="preserve"> include </w:t>
      </w:r>
      <w:r w:rsidR="006E6566">
        <w:rPr>
          <w:sz w:val="20"/>
          <w:szCs w:val="20"/>
        </w:rPr>
        <w:t>r</w:t>
      </w:r>
      <w:r w:rsidR="004956A4" w:rsidRPr="00A841D1">
        <w:rPr>
          <w:sz w:val="20"/>
          <w:szCs w:val="20"/>
        </w:rPr>
        <w:t>equirements</w:t>
      </w:r>
      <w:r w:rsidR="00A841D1">
        <w:rPr>
          <w:sz w:val="20"/>
          <w:szCs w:val="20"/>
        </w:rPr>
        <w:t>.</w:t>
      </w:r>
    </w:p>
    <w:p w14:paraId="0EF0EC06" w14:textId="019C4D32" w:rsidR="006E6566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135804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680F">
        <w:rPr>
          <w:sz w:val="20"/>
          <w:szCs w:val="20"/>
        </w:rPr>
        <w:tab/>
      </w:r>
      <w:r w:rsidR="006E6566">
        <w:rPr>
          <w:sz w:val="20"/>
          <w:szCs w:val="20"/>
        </w:rPr>
        <w:t>Terms are defined exactly as they’re used and used exactly as they’re defined (not counting plural forms).</w:t>
      </w:r>
    </w:p>
    <w:p w14:paraId="5E4FF20C" w14:textId="4F00F41C" w:rsidR="004F6A3D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211636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F6A3D">
        <w:rPr>
          <w:sz w:val="20"/>
          <w:szCs w:val="20"/>
        </w:rPr>
        <w:tab/>
        <w:t xml:space="preserve">All defined </w:t>
      </w:r>
      <w:r w:rsidR="00892874">
        <w:rPr>
          <w:sz w:val="20"/>
          <w:szCs w:val="20"/>
        </w:rPr>
        <w:t xml:space="preserve">terms </w:t>
      </w:r>
      <w:r w:rsidR="004F6A3D">
        <w:rPr>
          <w:sz w:val="20"/>
          <w:szCs w:val="20"/>
        </w:rPr>
        <w:t>are used at least once elsewhere in the document (outside of where they’re defined).</w:t>
      </w:r>
      <w:r w:rsidR="00EE680F">
        <w:rPr>
          <w:sz w:val="20"/>
          <w:szCs w:val="20"/>
        </w:rPr>
        <w:tab/>
      </w:r>
    </w:p>
    <w:p w14:paraId="6C1EF6AB" w14:textId="4F579322" w:rsidR="006E6566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72221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A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F6A3D">
        <w:rPr>
          <w:sz w:val="20"/>
          <w:szCs w:val="20"/>
        </w:rPr>
        <w:t xml:space="preserve"> </w:t>
      </w:r>
      <w:r w:rsidR="004F6A3D">
        <w:rPr>
          <w:sz w:val="20"/>
          <w:szCs w:val="20"/>
        </w:rPr>
        <w:tab/>
      </w:r>
      <w:r w:rsidR="00B867FD">
        <w:rPr>
          <w:sz w:val="20"/>
          <w:szCs w:val="20"/>
        </w:rPr>
        <w:t>Numbered m</w:t>
      </w:r>
      <w:r w:rsidR="006E6566">
        <w:rPr>
          <w:sz w:val="20"/>
          <w:szCs w:val="20"/>
        </w:rPr>
        <w:t xml:space="preserve">ain sections and subsections include headings. </w:t>
      </w:r>
    </w:p>
    <w:p w14:paraId="28834541" w14:textId="72A1C4FD" w:rsidR="006E6566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20417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680F">
        <w:rPr>
          <w:sz w:val="20"/>
          <w:szCs w:val="20"/>
        </w:rPr>
        <w:tab/>
      </w:r>
      <w:r w:rsidR="006E6566">
        <w:rPr>
          <w:sz w:val="20"/>
          <w:szCs w:val="20"/>
        </w:rPr>
        <w:t>Lists don’t mix complete sentences and sentence fragments (each list consistently uses one or the other).</w:t>
      </w:r>
    </w:p>
    <w:p w14:paraId="4033BE03" w14:textId="07ED84F5" w:rsidR="00EE680F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-60936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680F">
        <w:rPr>
          <w:sz w:val="20"/>
          <w:szCs w:val="20"/>
        </w:rPr>
        <w:t xml:space="preserve"> </w:t>
      </w:r>
      <w:r w:rsidR="00EE680F">
        <w:rPr>
          <w:sz w:val="20"/>
          <w:szCs w:val="20"/>
        </w:rPr>
        <w:tab/>
        <w:t>All sections have been reviewed and revised for clarity and completeness.</w:t>
      </w:r>
    </w:p>
    <w:p w14:paraId="25CDC0F3" w14:textId="099B3BEF" w:rsidR="00463DFA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24900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680F">
        <w:rPr>
          <w:sz w:val="20"/>
          <w:szCs w:val="20"/>
        </w:rPr>
        <w:tab/>
        <w:t xml:space="preserve">Document text uses a balanced mix of paragraphs and sections. </w:t>
      </w:r>
    </w:p>
    <w:p w14:paraId="5AD1B65B" w14:textId="6FD87019" w:rsidR="00E81CED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61047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C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1CED">
        <w:rPr>
          <w:sz w:val="20"/>
          <w:szCs w:val="20"/>
        </w:rPr>
        <w:t xml:space="preserve"> </w:t>
      </w:r>
      <w:r w:rsidR="00E81CED">
        <w:rPr>
          <w:sz w:val="20"/>
          <w:szCs w:val="20"/>
        </w:rPr>
        <w:tab/>
        <w:t>Normative and informative references are updated and current.</w:t>
      </w:r>
    </w:p>
    <w:p w14:paraId="03BE6C4E" w14:textId="2B180002" w:rsidR="00D55EBB" w:rsidRDefault="00FD79B5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30158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5EBB">
        <w:rPr>
          <w:sz w:val="20"/>
          <w:szCs w:val="20"/>
        </w:rPr>
        <w:t xml:space="preserve"> </w:t>
      </w:r>
      <w:r w:rsidR="00D55EBB">
        <w:rPr>
          <w:sz w:val="20"/>
          <w:szCs w:val="20"/>
        </w:rPr>
        <w:tab/>
        <w:t xml:space="preserve">Document doesn’t exceed 150 Microsoft Word pages. (If your document is longer than this, please contact the </w:t>
      </w:r>
      <w:hyperlink r:id="rId9" w:history="1">
        <w:r w:rsidR="00D55EBB" w:rsidRPr="00D55EBB">
          <w:rPr>
            <w:rStyle w:val="Hyperlink"/>
            <w:sz w:val="20"/>
            <w:szCs w:val="20"/>
          </w:rPr>
          <w:t>Senior Manager of Standards</w:t>
        </w:r>
      </w:hyperlink>
      <w:r w:rsidR="00D55EBB">
        <w:rPr>
          <w:sz w:val="20"/>
          <w:szCs w:val="20"/>
        </w:rPr>
        <w:t xml:space="preserve"> or the </w:t>
      </w:r>
      <w:hyperlink r:id="rId10" w:history="1">
        <w:r w:rsidR="00D55EBB" w:rsidRPr="00D55EBB">
          <w:rPr>
            <w:rStyle w:val="Hyperlink"/>
            <w:sz w:val="20"/>
            <w:szCs w:val="20"/>
          </w:rPr>
          <w:t>Editor of Standards and Guidelines</w:t>
        </w:r>
      </w:hyperlink>
      <w:r w:rsidR="00616197">
        <w:rPr>
          <w:sz w:val="20"/>
          <w:szCs w:val="20"/>
        </w:rPr>
        <w:t xml:space="preserve"> prior to submitting for public review</w:t>
      </w:r>
      <w:r w:rsidR="00D55EBB">
        <w:rPr>
          <w:sz w:val="20"/>
          <w:szCs w:val="20"/>
        </w:rPr>
        <w:t>.</w:t>
      </w:r>
      <w:r w:rsidR="000D1E60">
        <w:rPr>
          <w:sz w:val="20"/>
          <w:szCs w:val="20"/>
        </w:rPr>
        <w:t>)</w:t>
      </w:r>
    </w:p>
    <w:p w14:paraId="098EA138" w14:textId="77777777" w:rsidR="00D55EBB" w:rsidRDefault="00D55EBB" w:rsidP="00BA7102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</w:p>
    <w:p w14:paraId="111D14E2" w14:textId="79E713E9" w:rsidR="004F6A3D" w:rsidRPr="004F6A3D" w:rsidRDefault="004F6A3D" w:rsidP="004F6A3D">
      <w:pPr>
        <w:tabs>
          <w:tab w:val="left" w:pos="360"/>
        </w:tabs>
        <w:spacing w:before="120" w:after="120" w:line="240" w:lineRule="auto"/>
        <w:ind w:left="360" w:hanging="360"/>
        <w:rPr>
          <w:b/>
          <w:bCs/>
          <w:sz w:val="20"/>
          <w:szCs w:val="20"/>
        </w:rPr>
      </w:pPr>
      <w:r w:rsidRPr="004F6A3D">
        <w:rPr>
          <w:b/>
          <w:bCs/>
          <w:sz w:val="20"/>
          <w:szCs w:val="20"/>
        </w:rPr>
        <w:t>Figures and Tables</w:t>
      </w:r>
    </w:p>
    <w:p w14:paraId="23B6D342" w14:textId="166C314A" w:rsidR="004F6A3D" w:rsidRPr="004F6A3D" w:rsidRDefault="00FD79B5" w:rsidP="00BA7102">
      <w:pPr>
        <w:tabs>
          <w:tab w:val="left" w:pos="360"/>
        </w:tabs>
        <w:spacing w:before="40"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96893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7102">
        <w:rPr>
          <w:sz w:val="20"/>
          <w:szCs w:val="20"/>
        </w:rPr>
        <w:tab/>
      </w:r>
      <w:r w:rsidR="004F6A3D" w:rsidRPr="004F6A3D">
        <w:rPr>
          <w:sz w:val="20"/>
          <w:szCs w:val="20"/>
        </w:rPr>
        <w:t xml:space="preserve">Each figure and table is numbered and </w:t>
      </w:r>
      <w:r w:rsidR="00BA7102">
        <w:rPr>
          <w:sz w:val="20"/>
          <w:szCs w:val="20"/>
        </w:rPr>
        <w:t>t</w:t>
      </w:r>
      <w:r w:rsidR="004F6A3D" w:rsidRPr="004F6A3D">
        <w:rPr>
          <w:sz w:val="20"/>
          <w:szCs w:val="20"/>
        </w:rPr>
        <w:t>itle</w:t>
      </w:r>
      <w:r w:rsidR="00BA7102">
        <w:rPr>
          <w:sz w:val="20"/>
          <w:szCs w:val="20"/>
        </w:rPr>
        <w:t>d.</w:t>
      </w:r>
    </w:p>
    <w:p w14:paraId="3EE6966B" w14:textId="77777777" w:rsidR="00BA7102" w:rsidRDefault="00FD79B5" w:rsidP="00BA7102">
      <w:pPr>
        <w:tabs>
          <w:tab w:val="left" w:pos="360"/>
        </w:tabs>
        <w:spacing w:before="40"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4527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02" w:rsidRPr="00BA7102">
            <w:rPr>
              <w:rFonts w:hint="eastAsia"/>
              <w:sz w:val="20"/>
              <w:szCs w:val="20"/>
            </w:rPr>
            <w:t>☐</w:t>
          </w:r>
        </w:sdtContent>
      </w:sdt>
      <w:r w:rsidR="00BA7102" w:rsidRPr="004F6A3D">
        <w:rPr>
          <w:sz w:val="20"/>
          <w:szCs w:val="20"/>
        </w:rPr>
        <w:t xml:space="preserve"> </w:t>
      </w:r>
      <w:r w:rsidR="00BA7102">
        <w:rPr>
          <w:sz w:val="20"/>
          <w:szCs w:val="20"/>
        </w:rPr>
        <w:tab/>
      </w:r>
      <w:r w:rsidR="004F6A3D" w:rsidRPr="004F6A3D">
        <w:rPr>
          <w:sz w:val="20"/>
          <w:szCs w:val="20"/>
        </w:rPr>
        <w:t>Each figure and table is referenced by number in the text</w:t>
      </w:r>
      <w:r w:rsidR="00BA7102">
        <w:rPr>
          <w:sz w:val="20"/>
          <w:szCs w:val="20"/>
        </w:rPr>
        <w:t>.</w:t>
      </w:r>
      <w:r w:rsidR="004F6A3D" w:rsidRPr="004F6A3D">
        <w:rPr>
          <w:sz w:val="20"/>
          <w:szCs w:val="20"/>
        </w:rPr>
        <w:t xml:space="preserve"> </w:t>
      </w:r>
    </w:p>
    <w:p w14:paraId="678D2416" w14:textId="04BE9F15" w:rsidR="004F6A3D" w:rsidRPr="004F6A3D" w:rsidRDefault="00FD79B5" w:rsidP="00FD79B5">
      <w:pPr>
        <w:tabs>
          <w:tab w:val="left" w:pos="360"/>
        </w:tabs>
        <w:spacing w:before="40" w:after="0" w:line="240" w:lineRule="auto"/>
        <w:ind w:left="36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15819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02" w:rsidRPr="00BA7102">
            <w:rPr>
              <w:rFonts w:hint="eastAsia"/>
              <w:sz w:val="20"/>
              <w:szCs w:val="20"/>
            </w:rPr>
            <w:t>☐</w:t>
          </w:r>
        </w:sdtContent>
      </w:sdt>
      <w:r w:rsidR="00BA7102" w:rsidRPr="004F6A3D">
        <w:rPr>
          <w:sz w:val="20"/>
          <w:szCs w:val="20"/>
        </w:rPr>
        <w:t xml:space="preserve"> </w:t>
      </w:r>
      <w:r w:rsidR="00BA7102">
        <w:rPr>
          <w:sz w:val="20"/>
          <w:szCs w:val="20"/>
        </w:rPr>
        <w:tab/>
      </w:r>
      <w:r w:rsidR="004F6A3D" w:rsidRPr="004F6A3D">
        <w:rPr>
          <w:sz w:val="20"/>
          <w:szCs w:val="20"/>
        </w:rPr>
        <w:t>All figures used in the standard are legibl</w:t>
      </w:r>
      <w:r w:rsidR="00BA7102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(text is not too small, and meanings of colorings can easily be understood in the black and white print version of the standard).</w:t>
      </w:r>
    </w:p>
    <w:p w14:paraId="59118B62" w14:textId="77777777" w:rsidR="004F6A3D" w:rsidRPr="004F6A3D" w:rsidRDefault="004F6A3D" w:rsidP="00E81CED">
      <w:pPr>
        <w:tabs>
          <w:tab w:val="left" w:pos="360"/>
        </w:tabs>
        <w:spacing w:before="120" w:after="120" w:line="240" w:lineRule="auto"/>
        <w:ind w:left="360" w:hanging="360"/>
        <w:rPr>
          <w:b/>
          <w:bCs/>
          <w:sz w:val="20"/>
          <w:szCs w:val="20"/>
        </w:rPr>
      </w:pPr>
    </w:p>
    <w:sectPr w:rsidR="004F6A3D" w:rsidRPr="004F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20653"/>
    <w:multiLevelType w:val="hybridMultilevel"/>
    <w:tmpl w:val="8172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5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A4"/>
    <w:rsid w:val="000D1E60"/>
    <w:rsid w:val="00116383"/>
    <w:rsid w:val="0018735F"/>
    <w:rsid w:val="001A008F"/>
    <w:rsid w:val="001E1B62"/>
    <w:rsid w:val="003867CB"/>
    <w:rsid w:val="00432020"/>
    <w:rsid w:val="00463DFA"/>
    <w:rsid w:val="004956A4"/>
    <w:rsid w:val="004F6A3D"/>
    <w:rsid w:val="00616197"/>
    <w:rsid w:val="006477B2"/>
    <w:rsid w:val="006E6566"/>
    <w:rsid w:val="007A12FC"/>
    <w:rsid w:val="007F1B4B"/>
    <w:rsid w:val="00892874"/>
    <w:rsid w:val="00916B27"/>
    <w:rsid w:val="00A57447"/>
    <w:rsid w:val="00A841D1"/>
    <w:rsid w:val="00B867FD"/>
    <w:rsid w:val="00BA7102"/>
    <w:rsid w:val="00C728E5"/>
    <w:rsid w:val="00CC2316"/>
    <w:rsid w:val="00CE731E"/>
    <w:rsid w:val="00D55EBB"/>
    <w:rsid w:val="00DE67FC"/>
    <w:rsid w:val="00E81CED"/>
    <w:rsid w:val="00EE680F"/>
    <w:rsid w:val="00F51C0C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9947"/>
  <w15:chartTrackingRefBased/>
  <w15:docId w15:val="{427D2CDD-14F2-4AF7-A6A5-ADB9C580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6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6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6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656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D7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9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about/governance/ashrae-commercialism-policy-and-guide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hrae.org/File%20Library/Technical%20Resources/Standards%20and%20Guidelines/PCs%20Toolkit/ASHRAE-Guide-to-Writing-Standards-in-Mandatory-Language-201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rae.org/File%20Library/Technical%20Resources/Standards%20and%20Guidelines/PCs%20Toolkit/ASHRAE-Guide-to-Writing-Standards-in-Code-Intended-Language-201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shrae.org/technical-resources/ashrae-handbook/the-si-guide" TargetMode="External"/><Relationship Id="rId10" Type="http://schemas.openxmlformats.org/officeDocument/2006/relationships/hyperlink" Target="mailto:mwalker@ashra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hanley@ashr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Walker</dc:creator>
  <cp:keywords/>
  <dc:description/>
  <cp:lastModifiedBy>Matt Walker</cp:lastModifiedBy>
  <cp:revision>13</cp:revision>
  <dcterms:created xsi:type="dcterms:W3CDTF">2025-08-22T17:54:00Z</dcterms:created>
  <dcterms:modified xsi:type="dcterms:W3CDTF">2025-08-27T22:00:00Z</dcterms:modified>
</cp:coreProperties>
</file>