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9136" w14:textId="5B48ED38" w:rsidR="00597C1D" w:rsidRPr="009130F5" w:rsidRDefault="00616C21">
      <w:pPr>
        <w:rPr>
          <w:rFonts w:ascii="Aptos" w:hAnsi="Aptos"/>
          <w:b/>
          <w:bCs/>
          <w:color w:val="000000" w:themeColor="text1"/>
          <w:sz w:val="24"/>
          <w:szCs w:val="24"/>
        </w:rPr>
      </w:pPr>
      <w:r w:rsidRPr="009130F5">
        <w:rPr>
          <w:rFonts w:ascii="Aptos" w:hAnsi="Aptos"/>
          <w:b/>
          <w:bCs/>
          <w:color w:val="000000" w:themeColor="text1"/>
          <w:sz w:val="24"/>
          <w:szCs w:val="24"/>
        </w:rPr>
        <w:t>Writing</w:t>
      </w:r>
      <w:r w:rsidR="00EF5493">
        <w:rPr>
          <w:rFonts w:ascii="Aptos" w:hAnsi="Aptos"/>
          <w:b/>
          <w:bCs/>
          <w:color w:val="000000" w:themeColor="text1"/>
          <w:sz w:val="24"/>
          <w:szCs w:val="24"/>
        </w:rPr>
        <w:t xml:space="preserve"> Good</w:t>
      </w:r>
      <w:r w:rsidRPr="009130F5">
        <w:rPr>
          <w:rFonts w:ascii="Aptos" w:hAnsi="Aptos"/>
          <w:b/>
          <w:bCs/>
          <w:color w:val="000000" w:themeColor="text1"/>
          <w:sz w:val="24"/>
          <w:szCs w:val="24"/>
        </w:rPr>
        <w:t xml:space="preserve"> Definitions</w:t>
      </w:r>
    </w:p>
    <w:p w14:paraId="0A0EAF58" w14:textId="77777777" w:rsidR="00201D28" w:rsidRPr="00823562" w:rsidRDefault="00201D28">
      <w:pPr>
        <w:rPr>
          <w:rFonts w:ascii="Aptos" w:hAnsi="Aptos"/>
          <w:color w:val="000000" w:themeColor="text1"/>
          <w:sz w:val="20"/>
          <w:szCs w:val="20"/>
        </w:rPr>
      </w:pPr>
    </w:p>
    <w:bookmarkStart w:id="0" w:name="_Hlk206767259"/>
    <w:p w14:paraId="4F6884CC" w14:textId="2D6B1B36" w:rsidR="00616C21" w:rsidRPr="00823562" w:rsidRDefault="009B3CC8" w:rsidP="00CE151E">
      <w:pPr>
        <w:widowControl/>
        <w:tabs>
          <w:tab w:val="left" w:pos="360"/>
        </w:tabs>
        <w:autoSpaceDE/>
        <w:autoSpaceDN/>
        <w:spacing w:line="259" w:lineRule="auto"/>
        <w:ind w:left="360" w:hanging="360"/>
        <w:rPr>
          <w:rFonts w:ascii="Aptos" w:hAnsi="Aptos"/>
          <w:color w:val="000000" w:themeColor="text1"/>
          <w:sz w:val="20"/>
          <w:szCs w:val="20"/>
          <w:lang w:val="en-US"/>
        </w:rPr>
      </w:pPr>
      <w:sdt>
        <w:sdtPr>
          <w:rPr>
            <w:rFonts w:ascii="Aptos" w:hAnsi="Aptos"/>
            <w:b/>
            <w:bCs/>
            <w:color w:val="000000" w:themeColor="text1"/>
            <w:sz w:val="20"/>
            <w:szCs w:val="20"/>
            <w:lang w:val="en-US"/>
          </w:rPr>
          <w:id w:val="-134747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21" w:rsidRPr="00823562">
            <w:rPr>
              <w:rFonts w:ascii="MS Gothic" w:eastAsia="MS Gothic" w:hAnsi="MS Gothic" w:hint="eastAsia"/>
              <w:b/>
              <w:bCs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bookmarkEnd w:id="0"/>
      <w:r w:rsidR="00616C21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ab/>
        <w:t>D</w:t>
      </w:r>
      <w:r w:rsidR="001D5830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efinition</w:t>
      </w:r>
      <w:r w:rsidR="00616C21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s</w:t>
      </w:r>
      <w:r w:rsidR="001D5830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vary substantially from </w:t>
      </w:r>
      <w:r w:rsidR="00616C21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their </w:t>
      </w:r>
      <w:r w:rsidR="001D5830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normal dictionary meaning</w:t>
      </w:r>
      <w:r w:rsidR="00616C21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s</w:t>
      </w:r>
      <w:r w:rsidR="001D5830" w:rsidRPr="00823562">
        <w:rPr>
          <w:rFonts w:ascii="Aptos" w:hAnsi="Aptos"/>
          <w:color w:val="000000" w:themeColor="text1"/>
          <w:sz w:val="20"/>
          <w:szCs w:val="20"/>
          <w:lang w:val="en-US"/>
        </w:rPr>
        <w:t>.</w:t>
      </w:r>
    </w:p>
    <w:p w14:paraId="54EF426D" w14:textId="4D34CEBF" w:rsidR="00616C21" w:rsidRPr="00823562" w:rsidRDefault="00997049" w:rsidP="00CE151E">
      <w:pPr>
        <w:widowControl/>
        <w:tabs>
          <w:tab w:val="left" w:pos="360"/>
        </w:tabs>
        <w:autoSpaceDE/>
        <w:autoSpaceDN/>
        <w:spacing w:line="259" w:lineRule="auto"/>
        <w:ind w:left="360" w:hanging="360"/>
        <w:rPr>
          <w:rFonts w:ascii="Aptos" w:hAnsi="Aptos"/>
          <w:color w:val="000000" w:themeColor="text1"/>
          <w:sz w:val="20"/>
          <w:szCs w:val="20"/>
          <w:lang w:val="en-US"/>
        </w:rPr>
      </w:pPr>
      <w:r w:rsidRPr="00823562">
        <w:rPr>
          <w:rFonts w:ascii="Aptos" w:hAnsi="Aptos"/>
          <w:color w:val="000000" w:themeColor="text1"/>
          <w:sz w:val="20"/>
          <w:szCs w:val="20"/>
          <w:lang w:val="en-US"/>
        </w:rPr>
        <w:tab/>
      </w:r>
      <w:r w:rsidR="001D5830" w:rsidRPr="00823562">
        <w:rPr>
          <w:rFonts w:ascii="Aptos" w:hAnsi="Aptos"/>
          <w:color w:val="000000" w:themeColor="text1"/>
          <w:sz w:val="20"/>
          <w:szCs w:val="20"/>
          <w:lang w:val="en-US"/>
        </w:rPr>
        <w:t>If a normal dictionary definition can be swapped in without loss/change to meaning, do not redefine the term in the document.</w:t>
      </w:r>
    </w:p>
    <w:p w14:paraId="396C7A51" w14:textId="555BE50E" w:rsidR="001D5830" w:rsidRPr="00823562" w:rsidRDefault="009B3CC8" w:rsidP="00CE151E">
      <w:pPr>
        <w:widowControl/>
        <w:tabs>
          <w:tab w:val="left" w:pos="360"/>
        </w:tabs>
        <w:autoSpaceDE/>
        <w:autoSpaceDN/>
        <w:spacing w:before="80"/>
        <w:ind w:left="360" w:hanging="360"/>
        <w:rPr>
          <w:rFonts w:ascii="Aptos" w:hAnsi="Aptos"/>
          <w:color w:val="000000" w:themeColor="text1"/>
          <w:sz w:val="20"/>
          <w:szCs w:val="20"/>
          <w:lang w:val="en-US"/>
        </w:rPr>
      </w:pPr>
      <w:sdt>
        <w:sdtPr>
          <w:rPr>
            <w:rFonts w:ascii="Aptos" w:hAnsi="Aptos"/>
            <w:b/>
            <w:bCs/>
            <w:color w:val="000000" w:themeColor="text1"/>
            <w:sz w:val="20"/>
            <w:szCs w:val="20"/>
            <w:lang w:val="en-US"/>
          </w:rPr>
          <w:id w:val="341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21" w:rsidRPr="00823562">
            <w:rPr>
              <w:rFonts w:ascii="MS Gothic" w:eastAsia="MS Gothic" w:hAnsi="MS Gothic" w:hint="eastAsia"/>
              <w:b/>
              <w:bCs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616C21" w:rsidRPr="00823562">
        <w:rPr>
          <w:rFonts w:ascii="Aptos" w:hAnsi="Aptos"/>
          <w:color w:val="000000" w:themeColor="text1"/>
          <w:sz w:val="20"/>
          <w:szCs w:val="20"/>
          <w:lang w:val="en-US"/>
        </w:rPr>
        <w:t xml:space="preserve"> </w:t>
      </w:r>
      <w:r w:rsidR="00616C21" w:rsidRPr="00823562">
        <w:rPr>
          <w:rFonts w:ascii="Aptos" w:hAnsi="Aptos"/>
          <w:color w:val="000000" w:themeColor="text1"/>
          <w:sz w:val="20"/>
          <w:szCs w:val="20"/>
          <w:lang w:val="en-US"/>
        </w:rPr>
        <w:tab/>
      </w:r>
      <w:r w:rsidR="00616C21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Definitions don’t </w:t>
      </w:r>
      <w:r w:rsidR="001D5830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include requirements. </w:t>
      </w:r>
    </w:p>
    <w:p w14:paraId="31D1F279" w14:textId="24E86153" w:rsidR="00616C21" w:rsidRPr="00823562" w:rsidRDefault="009B3CC8" w:rsidP="00CE151E">
      <w:pPr>
        <w:widowControl/>
        <w:tabs>
          <w:tab w:val="left" w:pos="360"/>
        </w:tabs>
        <w:autoSpaceDE/>
        <w:autoSpaceDN/>
        <w:spacing w:before="80"/>
        <w:ind w:left="360" w:hanging="360"/>
        <w:rPr>
          <w:rFonts w:ascii="Aptos" w:hAnsi="Aptos"/>
          <w:color w:val="000000" w:themeColor="text1"/>
          <w:sz w:val="20"/>
          <w:szCs w:val="20"/>
          <w:lang w:val="en-US"/>
        </w:rPr>
      </w:pPr>
      <w:sdt>
        <w:sdtPr>
          <w:rPr>
            <w:rFonts w:ascii="Aptos" w:hAnsi="Aptos"/>
            <w:b/>
            <w:bCs/>
            <w:color w:val="000000" w:themeColor="text1"/>
            <w:sz w:val="20"/>
            <w:szCs w:val="20"/>
            <w:lang w:val="en-US"/>
          </w:rPr>
          <w:id w:val="-72791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21" w:rsidRPr="00823562">
            <w:rPr>
              <w:rFonts w:ascii="MS Gothic" w:eastAsia="MS Gothic" w:hAnsi="MS Gothic" w:hint="eastAsia"/>
              <w:b/>
              <w:bCs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616C21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616C21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ab/>
        <w:t xml:space="preserve">Definitions don’t </w:t>
      </w:r>
      <w:r w:rsidR="001D5830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include illustrative language or examples.</w:t>
      </w:r>
      <w:r w:rsidR="001D5830" w:rsidRPr="00823562">
        <w:rPr>
          <w:rFonts w:ascii="Aptos" w:hAnsi="Aptos"/>
          <w:color w:val="000000" w:themeColor="text1"/>
          <w:sz w:val="20"/>
          <w:szCs w:val="20"/>
          <w:lang w:val="en-US"/>
        </w:rPr>
        <w:t xml:space="preserve"> </w:t>
      </w:r>
    </w:p>
    <w:p w14:paraId="119D4CCC" w14:textId="3C9BA007" w:rsidR="001D5830" w:rsidRPr="00823562" w:rsidRDefault="00997049" w:rsidP="00CE151E">
      <w:pPr>
        <w:widowControl/>
        <w:tabs>
          <w:tab w:val="left" w:pos="360"/>
        </w:tabs>
        <w:autoSpaceDE/>
        <w:autoSpaceDN/>
        <w:spacing w:line="259" w:lineRule="auto"/>
        <w:ind w:left="360" w:hanging="360"/>
        <w:rPr>
          <w:rFonts w:ascii="Aptos" w:hAnsi="Aptos"/>
          <w:color w:val="000000" w:themeColor="text1"/>
          <w:sz w:val="20"/>
          <w:szCs w:val="20"/>
          <w:lang w:val="en-US"/>
        </w:rPr>
      </w:pPr>
      <w:r w:rsidRPr="00823562">
        <w:rPr>
          <w:rFonts w:ascii="Aptos" w:hAnsi="Aptos"/>
          <w:color w:val="000000" w:themeColor="text1"/>
          <w:sz w:val="20"/>
          <w:szCs w:val="20"/>
          <w:lang w:val="en-US"/>
        </w:rPr>
        <w:tab/>
      </w:r>
      <w:r w:rsidR="001D5830" w:rsidRPr="00823562">
        <w:rPr>
          <w:rFonts w:ascii="Aptos" w:hAnsi="Aptos"/>
          <w:color w:val="000000" w:themeColor="text1"/>
          <w:sz w:val="20"/>
          <w:szCs w:val="20"/>
          <w:lang w:val="en-US"/>
        </w:rPr>
        <w:t>Move illustrations and examples to informative notes, sections, or appendices, as applicable.</w:t>
      </w:r>
    </w:p>
    <w:p w14:paraId="7442B276" w14:textId="5298C871" w:rsidR="00616C21" w:rsidRPr="00823562" w:rsidRDefault="009B3CC8" w:rsidP="00CE151E">
      <w:pPr>
        <w:widowControl/>
        <w:tabs>
          <w:tab w:val="left" w:pos="360"/>
        </w:tabs>
        <w:autoSpaceDE/>
        <w:autoSpaceDN/>
        <w:spacing w:before="80"/>
        <w:ind w:left="360" w:hanging="360"/>
        <w:rPr>
          <w:rFonts w:ascii="Aptos" w:hAnsi="Aptos"/>
          <w:color w:val="000000" w:themeColor="text1"/>
          <w:sz w:val="20"/>
          <w:szCs w:val="20"/>
          <w:lang w:val="en-GB"/>
        </w:rPr>
      </w:pPr>
      <w:sdt>
        <w:sdtPr>
          <w:rPr>
            <w:rFonts w:ascii="Aptos" w:hAnsi="Aptos"/>
            <w:b/>
            <w:bCs/>
            <w:color w:val="000000" w:themeColor="text1"/>
            <w:sz w:val="20"/>
            <w:szCs w:val="20"/>
            <w:lang w:val="en-US"/>
          </w:rPr>
          <w:id w:val="52606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049" w:rsidRPr="00823562">
            <w:rPr>
              <w:rFonts w:ascii="MS Gothic" w:eastAsia="MS Gothic" w:hAnsi="MS Gothic" w:hint="eastAsia"/>
              <w:b/>
              <w:bCs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ab/>
      </w:r>
      <w:r w:rsidR="00616C21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Terms are specified and defined in a way that distinguishes them</w:t>
      </w:r>
      <w:r w:rsidR="001D5830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from one of several possible technical uses.</w:t>
      </w:r>
      <w:r w:rsidR="001D5830" w:rsidRPr="00823562">
        <w:rPr>
          <w:rFonts w:ascii="Aptos" w:hAnsi="Aptos"/>
          <w:color w:val="000000" w:themeColor="text1"/>
          <w:sz w:val="20"/>
          <w:szCs w:val="20"/>
          <w:lang w:val="en-US"/>
        </w:rPr>
        <w:t xml:space="preserve"> </w:t>
      </w:r>
    </w:p>
    <w:p w14:paraId="03DEE760" w14:textId="39570E66" w:rsidR="001D5830" w:rsidRPr="00823562" w:rsidRDefault="00997049" w:rsidP="00CE151E">
      <w:pPr>
        <w:widowControl/>
        <w:tabs>
          <w:tab w:val="left" w:pos="360"/>
        </w:tabs>
        <w:autoSpaceDE/>
        <w:autoSpaceDN/>
        <w:spacing w:line="259" w:lineRule="auto"/>
        <w:ind w:left="360" w:hanging="360"/>
        <w:rPr>
          <w:rFonts w:ascii="Aptos" w:hAnsi="Aptos"/>
          <w:color w:val="000000" w:themeColor="text1"/>
          <w:sz w:val="20"/>
          <w:szCs w:val="20"/>
          <w:lang w:val="en-GB"/>
        </w:rPr>
      </w:pPr>
      <w:r w:rsidRPr="00823562">
        <w:rPr>
          <w:rFonts w:ascii="Aptos" w:hAnsi="Aptos"/>
          <w:color w:val="000000" w:themeColor="text1"/>
          <w:sz w:val="20"/>
          <w:szCs w:val="20"/>
          <w:lang w:val="en-US"/>
        </w:rPr>
        <w:tab/>
      </w:r>
      <w:r w:rsidR="001D5830" w:rsidRPr="00823562">
        <w:rPr>
          <w:rFonts w:ascii="Aptos" w:hAnsi="Aptos"/>
          <w:color w:val="000000" w:themeColor="text1"/>
          <w:sz w:val="20"/>
          <w:szCs w:val="20"/>
          <w:lang w:val="en-US"/>
        </w:rPr>
        <w:t>For example, ASHRAE’s filter community uses “removal efficiency” to distinguish their specific use of “efficiency” from other technical uses.</w:t>
      </w:r>
    </w:p>
    <w:p w14:paraId="2CA3279B" w14:textId="41CB5644" w:rsidR="00616C21" w:rsidRPr="00823562" w:rsidRDefault="009B3CC8" w:rsidP="00CE151E">
      <w:pPr>
        <w:widowControl/>
        <w:tabs>
          <w:tab w:val="left" w:pos="360"/>
        </w:tabs>
        <w:autoSpaceDE/>
        <w:autoSpaceDN/>
        <w:spacing w:before="80"/>
        <w:ind w:left="360" w:hanging="360"/>
        <w:rPr>
          <w:rFonts w:ascii="Aptos" w:hAnsi="Aptos"/>
          <w:color w:val="000000" w:themeColor="text1"/>
          <w:sz w:val="20"/>
          <w:szCs w:val="20"/>
          <w:lang w:val="en-US"/>
        </w:rPr>
      </w:pPr>
      <w:sdt>
        <w:sdtPr>
          <w:rPr>
            <w:rFonts w:ascii="Aptos" w:hAnsi="Aptos"/>
            <w:b/>
            <w:bCs/>
            <w:color w:val="000000" w:themeColor="text1"/>
            <w:sz w:val="20"/>
            <w:szCs w:val="20"/>
            <w:lang w:val="en-US"/>
          </w:rPr>
          <w:id w:val="182284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049" w:rsidRPr="00823562">
            <w:rPr>
              <w:rFonts w:ascii="MS Gothic" w:eastAsia="MS Gothic" w:hAnsi="MS Gothic" w:hint="eastAsia"/>
              <w:b/>
              <w:bCs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CE151E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ab/>
      </w:r>
      <w:r w:rsidR="00616C21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Terms are defined exactly as they’re used and used exactly as they’re defined in the document. </w:t>
      </w:r>
    </w:p>
    <w:p w14:paraId="3FD07814" w14:textId="03A398E6" w:rsidR="00616C21" w:rsidRPr="00823562" w:rsidRDefault="009B3CC8" w:rsidP="00CE151E">
      <w:pPr>
        <w:widowControl/>
        <w:tabs>
          <w:tab w:val="left" w:pos="360"/>
        </w:tabs>
        <w:autoSpaceDE/>
        <w:autoSpaceDN/>
        <w:spacing w:before="80"/>
        <w:ind w:left="360" w:hanging="360"/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</w:pPr>
      <w:sdt>
        <w:sdtPr>
          <w:rPr>
            <w:rFonts w:ascii="Aptos" w:hAnsi="Aptos"/>
            <w:b/>
            <w:bCs/>
            <w:color w:val="000000" w:themeColor="text1"/>
            <w:sz w:val="20"/>
            <w:szCs w:val="20"/>
            <w:lang w:val="en-US"/>
          </w:rPr>
          <w:id w:val="-20526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049" w:rsidRPr="00823562">
            <w:rPr>
              <w:rFonts w:ascii="MS Gothic" w:eastAsia="MS Gothic" w:hAnsi="MS Gothic" w:hint="eastAsia"/>
              <w:b/>
              <w:bCs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ab/>
      </w:r>
      <w:r w:rsidR="00616C21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Terms are not used to </w:t>
      </w:r>
      <w:r w:rsidR="001D5830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define </w:t>
      </w:r>
      <w:r w:rsidR="00616C21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themselves</w:t>
      </w:r>
      <w:r w:rsidR="00CE151E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.</w:t>
      </w:r>
    </w:p>
    <w:p w14:paraId="4C10A8F6" w14:textId="5BD0416F" w:rsidR="001D5830" w:rsidRPr="00823562" w:rsidRDefault="00997049" w:rsidP="00CE151E">
      <w:pPr>
        <w:widowControl/>
        <w:tabs>
          <w:tab w:val="left" w:pos="360"/>
        </w:tabs>
        <w:autoSpaceDE/>
        <w:autoSpaceDN/>
        <w:spacing w:line="259" w:lineRule="auto"/>
        <w:ind w:left="360" w:hanging="360"/>
        <w:rPr>
          <w:rFonts w:ascii="Aptos" w:hAnsi="Aptos"/>
          <w:color w:val="000000" w:themeColor="text1"/>
          <w:sz w:val="20"/>
          <w:szCs w:val="20"/>
          <w:lang w:val="en-GB"/>
        </w:rPr>
      </w:pPr>
      <w:r w:rsidRPr="00823562">
        <w:rPr>
          <w:rFonts w:ascii="Aptos" w:hAnsi="Aptos"/>
          <w:color w:val="000000" w:themeColor="text1"/>
          <w:sz w:val="20"/>
          <w:szCs w:val="20"/>
          <w:lang w:val="en-US"/>
        </w:rPr>
        <w:tab/>
      </w:r>
      <w:r w:rsidR="001D5830" w:rsidRPr="00823562">
        <w:rPr>
          <w:rFonts w:ascii="Aptos" w:hAnsi="Aptos"/>
          <w:color w:val="000000" w:themeColor="text1"/>
          <w:sz w:val="20"/>
          <w:szCs w:val="20"/>
          <w:lang w:val="en-US"/>
        </w:rPr>
        <w:t xml:space="preserve">(i.e., no circular </w:t>
      </w:r>
      <w:r w:rsidR="001D5830" w:rsidRPr="009130F5">
        <w:rPr>
          <w:rFonts w:ascii="Aptos" w:hAnsi="Aptos"/>
          <w:color w:val="000000" w:themeColor="text1"/>
          <w:sz w:val="20"/>
          <w:szCs w:val="20"/>
          <w:lang w:val="en-US"/>
        </w:rPr>
        <w:t>definitions).</w:t>
      </w:r>
      <w:r w:rsidR="001D5830" w:rsidRPr="00823562">
        <w:rPr>
          <w:rFonts w:ascii="Aptos" w:hAnsi="Aptos"/>
          <w:color w:val="000000" w:themeColor="text1"/>
          <w:sz w:val="20"/>
          <w:szCs w:val="20"/>
          <w:lang w:val="en-US"/>
        </w:rPr>
        <w:t xml:space="preserve"> For example,</w:t>
      </w:r>
      <w:r w:rsidR="001D5830" w:rsidRPr="00823562">
        <w:rPr>
          <w:rFonts w:ascii="Aptos" w:hAnsi="Aptos"/>
          <w:color w:val="000000" w:themeColor="text1"/>
          <w:sz w:val="20"/>
          <w:szCs w:val="20"/>
        </w:rPr>
        <w:t xml:space="preserve"> </w:t>
      </w:r>
      <w:r w:rsidR="001D5830" w:rsidRPr="00823562">
        <w:rPr>
          <w:rFonts w:ascii="Aptos" w:hAnsi="Aptos"/>
          <w:i/>
          <w:iCs/>
          <w:color w:val="000000" w:themeColor="text1"/>
          <w:sz w:val="20"/>
          <w:szCs w:val="20"/>
          <w:lang w:val="en-US"/>
        </w:rPr>
        <w:t xml:space="preserve">correlation ratio data acceptance criteria </w:t>
      </w:r>
      <w:r w:rsidR="001D5830" w:rsidRPr="00823562">
        <w:rPr>
          <w:rFonts w:ascii="Aptos" w:hAnsi="Aptos"/>
          <w:color w:val="000000" w:themeColor="text1"/>
          <w:sz w:val="20"/>
          <w:szCs w:val="20"/>
          <w:lang w:val="en-US"/>
        </w:rPr>
        <w:t>should not be defined as “criteria used to determine the adequacy of the correlation data.”</w:t>
      </w:r>
    </w:p>
    <w:p w14:paraId="121B7C28" w14:textId="38E90092" w:rsidR="00997049" w:rsidRPr="00823562" w:rsidRDefault="009B3CC8" w:rsidP="00CE151E">
      <w:pPr>
        <w:widowControl/>
        <w:tabs>
          <w:tab w:val="left" w:pos="360"/>
        </w:tabs>
        <w:autoSpaceDE/>
        <w:autoSpaceDN/>
        <w:spacing w:before="80"/>
        <w:ind w:left="360" w:hanging="360"/>
        <w:rPr>
          <w:rFonts w:ascii="Aptos" w:hAnsi="Aptos"/>
          <w:color w:val="000000" w:themeColor="text1"/>
          <w:sz w:val="20"/>
          <w:szCs w:val="20"/>
          <w:lang w:val="en-US"/>
        </w:rPr>
      </w:pPr>
      <w:sdt>
        <w:sdtPr>
          <w:rPr>
            <w:rFonts w:ascii="Aptos" w:hAnsi="Aptos"/>
            <w:b/>
            <w:bCs/>
            <w:color w:val="000000" w:themeColor="text1"/>
            <w:sz w:val="20"/>
            <w:szCs w:val="20"/>
            <w:lang w:val="en-US"/>
          </w:rPr>
          <w:id w:val="-105069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049" w:rsidRPr="00823562">
            <w:rPr>
              <w:rFonts w:ascii="MS Gothic" w:eastAsia="MS Gothic" w:hAnsi="MS Gothic" w:hint="eastAsia"/>
              <w:b/>
              <w:bCs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ab/>
        <w:t>S</w:t>
      </w:r>
      <w:r w:rsidR="009817A6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tandard I-P and SI units of measure </w:t>
      </w:r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aren’t defined</w:t>
      </w:r>
      <w:r w:rsidR="00CE151E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9817A6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(e.g., kilowatts</w:t>
      </w:r>
      <w:r w:rsidR="007808EB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)</w:t>
      </w:r>
      <w:r w:rsidR="00CE151E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.</w:t>
      </w:r>
    </w:p>
    <w:p w14:paraId="125DFDF8" w14:textId="5F6B2C1E" w:rsidR="009817A6" w:rsidRPr="00823562" w:rsidRDefault="00997049" w:rsidP="00CE151E">
      <w:pPr>
        <w:widowControl/>
        <w:tabs>
          <w:tab w:val="left" w:pos="360"/>
        </w:tabs>
        <w:autoSpaceDE/>
        <w:autoSpaceDN/>
        <w:spacing w:line="259" w:lineRule="auto"/>
        <w:ind w:left="360" w:hanging="360"/>
        <w:rPr>
          <w:rFonts w:ascii="Aptos" w:hAnsi="Aptos"/>
          <w:color w:val="000000" w:themeColor="text1"/>
          <w:sz w:val="20"/>
          <w:szCs w:val="20"/>
          <w:lang w:val="en-US"/>
        </w:rPr>
      </w:pPr>
      <w:r w:rsidRPr="00823562">
        <w:rPr>
          <w:rFonts w:ascii="Aptos" w:hAnsi="Aptos"/>
          <w:color w:val="000000" w:themeColor="text1"/>
          <w:sz w:val="20"/>
          <w:szCs w:val="20"/>
          <w:lang w:val="en-US"/>
        </w:rPr>
        <w:tab/>
      </w:r>
      <w:r w:rsidR="009817A6" w:rsidRPr="00823562">
        <w:rPr>
          <w:rFonts w:ascii="Aptos" w:hAnsi="Aptos"/>
          <w:color w:val="000000" w:themeColor="text1"/>
          <w:sz w:val="20"/>
          <w:szCs w:val="20"/>
          <w:lang w:val="en-US"/>
        </w:rPr>
        <w:t>Exceptions include calculated measurements or rates, such as SEER, EER, etc.</w:t>
      </w:r>
    </w:p>
    <w:p w14:paraId="523F3C93" w14:textId="77777777" w:rsidR="00CE151E" w:rsidRPr="00823562" w:rsidRDefault="009B3CC8" w:rsidP="00CE151E">
      <w:pPr>
        <w:widowControl/>
        <w:tabs>
          <w:tab w:val="left" w:pos="360"/>
        </w:tabs>
        <w:autoSpaceDE/>
        <w:autoSpaceDN/>
        <w:spacing w:before="80"/>
        <w:ind w:left="360" w:hanging="360"/>
        <w:rPr>
          <w:rFonts w:ascii="Aptos" w:hAnsi="Aptos"/>
          <w:color w:val="000000" w:themeColor="text1"/>
          <w:sz w:val="20"/>
          <w:szCs w:val="20"/>
          <w:lang w:val="en-US"/>
        </w:rPr>
      </w:pPr>
      <w:sdt>
        <w:sdtPr>
          <w:rPr>
            <w:rFonts w:ascii="Aptos" w:hAnsi="Aptos"/>
            <w:b/>
            <w:bCs/>
            <w:color w:val="000000" w:themeColor="text1"/>
            <w:sz w:val="20"/>
            <w:szCs w:val="20"/>
            <w:lang w:val="en-US"/>
          </w:rPr>
          <w:id w:val="-23454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049" w:rsidRPr="00823562">
            <w:rPr>
              <w:rFonts w:ascii="MS Gothic" w:eastAsia="MS Gothic" w:hAnsi="MS Gothic" w:hint="eastAsia"/>
              <w:b/>
              <w:bCs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ab/>
        <w:t>Synonyms are c</w:t>
      </w:r>
      <w:r w:rsidR="009817A6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ross-reference</w:t>
      </w:r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d</w:t>
      </w:r>
      <w:r w:rsidR="00355F56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to a</w:t>
      </w:r>
      <w:r w:rsidR="009817A6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primary definition and use</w:t>
      </w:r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d</w:t>
      </w:r>
      <w:r w:rsidR="009817A6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sparingly</w:t>
      </w:r>
      <w:r w:rsidR="009817A6" w:rsidRPr="00823562">
        <w:rPr>
          <w:rFonts w:ascii="Aptos" w:hAnsi="Aptos"/>
          <w:color w:val="000000" w:themeColor="text1"/>
          <w:sz w:val="20"/>
          <w:szCs w:val="20"/>
          <w:lang w:val="en-US"/>
        </w:rPr>
        <w:t xml:space="preserve">. </w:t>
      </w:r>
    </w:p>
    <w:p w14:paraId="3AE4D75B" w14:textId="7CE19736" w:rsidR="009817A6" w:rsidRPr="00823562" w:rsidRDefault="00CE151E" w:rsidP="00CE151E">
      <w:pPr>
        <w:widowControl/>
        <w:tabs>
          <w:tab w:val="left" w:pos="360"/>
        </w:tabs>
        <w:autoSpaceDE/>
        <w:autoSpaceDN/>
        <w:ind w:left="360" w:hanging="360"/>
        <w:rPr>
          <w:rFonts w:ascii="Aptos" w:hAnsi="Aptos"/>
          <w:color w:val="000000" w:themeColor="text1"/>
          <w:sz w:val="20"/>
          <w:szCs w:val="20"/>
          <w:lang w:val="en-US"/>
        </w:rPr>
      </w:pPr>
      <w:r w:rsidRPr="00823562">
        <w:rPr>
          <w:rFonts w:ascii="MS Gothic" w:eastAsia="MS Gothic" w:hAnsi="MS Gothic"/>
          <w:b/>
          <w:bCs/>
          <w:color w:val="000000" w:themeColor="text1"/>
          <w:sz w:val="20"/>
          <w:szCs w:val="20"/>
          <w:lang w:val="en-US"/>
        </w:rPr>
        <w:tab/>
      </w:r>
      <w:r w:rsidR="009817A6" w:rsidRPr="00823562">
        <w:rPr>
          <w:rFonts w:ascii="Aptos" w:hAnsi="Aptos"/>
          <w:color w:val="000000" w:themeColor="text1"/>
          <w:sz w:val="20"/>
          <w:szCs w:val="20"/>
          <w:lang w:val="en-US"/>
        </w:rPr>
        <w:t xml:space="preserve">Where multiple terms </w:t>
      </w:r>
      <w:r w:rsidR="009130F5">
        <w:rPr>
          <w:rFonts w:ascii="Aptos" w:hAnsi="Aptos"/>
          <w:i/>
          <w:iCs/>
          <w:color w:val="000000" w:themeColor="text1"/>
          <w:sz w:val="20"/>
          <w:szCs w:val="20"/>
          <w:lang w:val="en-US"/>
        </w:rPr>
        <w:t>could</w:t>
      </w:r>
      <w:r w:rsidR="009817A6" w:rsidRPr="00823562">
        <w:rPr>
          <w:rFonts w:ascii="Aptos" w:hAnsi="Aptos"/>
          <w:color w:val="000000" w:themeColor="text1"/>
          <w:sz w:val="20"/>
          <w:szCs w:val="20"/>
          <w:lang w:val="en-US"/>
        </w:rPr>
        <w:t xml:space="preserve"> be used, best practice is to </w:t>
      </w:r>
      <w:r w:rsidR="00355F56" w:rsidRPr="00823562">
        <w:rPr>
          <w:rFonts w:ascii="Aptos" w:hAnsi="Aptos"/>
          <w:color w:val="000000" w:themeColor="text1"/>
          <w:sz w:val="20"/>
          <w:szCs w:val="20"/>
          <w:lang w:val="en-US"/>
        </w:rPr>
        <w:t xml:space="preserve">define </w:t>
      </w:r>
      <w:r w:rsidR="009817A6" w:rsidRPr="00823562">
        <w:rPr>
          <w:rFonts w:ascii="Aptos" w:hAnsi="Aptos"/>
          <w:color w:val="000000" w:themeColor="text1"/>
          <w:sz w:val="20"/>
          <w:szCs w:val="20"/>
          <w:lang w:val="en-US"/>
        </w:rPr>
        <w:t xml:space="preserve">one and use it consistently. </w:t>
      </w:r>
    </w:p>
    <w:p w14:paraId="651C8AC9" w14:textId="3F171396" w:rsidR="00997049" w:rsidRPr="00823562" w:rsidRDefault="009B3CC8" w:rsidP="00CE151E">
      <w:pPr>
        <w:widowControl/>
        <w:tabs>
          <w:tab w:val="left" w:pos="360"/>
        </w:tabs>
        <w:autoSpaceDE/>
        <w:autoSpaceDN/>
        <w:spacing w:before="80"/>
        <w:ind w:left="360" w:hanging="360"/>
        <w:rPr>
          <w:rFonts w:ascii="Aptos" w:hAnsi="Aptos"/>
          <w:color w:val="000000" w:themeColor="text1"/>
          <w:sz w:val="20"/>
          <w:szCs w:val="20"/>
          <w:lang w:val="en-US"/>
        </w:rPr>
      </w:pPr>
      <w:sdt>
        <w:sdtPr>
          <w:rPr>
            <w:rFonts w:ascii="Aptos" w:hAnsi="Aptos"/>
            <w:b/>
            <w:bCs/>
            <w:color w:val="000000" w:themeColor="text1"/>
            <w:sz w:val="20"/>
            <w:szCs w:val="20"/>
            <w:lang w:val="en-US"/>
          </w:rPr>
          <w:id w:val="-78226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049" w:rsidRPr="00823562">
            <w:rPr>
              <w:rFonts w:ascii="MS Gothic" w:eastAsia="MS Gothic" w:hAnsi="MS Gothic" w:hint="eastAsia"/>
              <w:b/>
              <w:bCs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ab/>
      </w:r>
      <w:r w:rsidR="009817A6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Definitions </w:t>
      </w:r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aren’t</w:t>
      </w:r>
      <w:r w:rsidR="009817A6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substantially made up of jargon</w:t>
      </w:r>
      <w:r w:rsidR="00997049" w:rsidRPr="00823562">
        <w:rPr>
          <w:rFonts w:ascii="Aptos" w:hAnsi="Aptos"/>
          <w:color w:val="000000" w:themeColor="text1"/>
          <w:sz w:val="20"/>
          <w:szCs w:val="20"/>
          <w:lang w:val="en-US"/>
        </w:rPr>
        <w:t>.</w:t>
      </w:r>
    </w:p>
    <w:p w14:paraId="7898E703" w14:textId="2D887136" w:rsidR="009817A6" w:rsidRPr="00823562" w:rsidRDefault="00997049" w:rsidP="00CE151E">
      <w:pPr>
        <w:widowControl/>
        <w:tabs>
          <w:tab w:val="left" w:pos="360"/>
        </w:tabs>
        <w:autoSpaceDE/>
        <w:autoSpaceDN/>
        <w:spacing w:line="259" w:lineRule="auto"/>
        <w:ind w:left="360" w:hanging="360"/>
        <w:rPr>
          <w:rFonts w:ascii="Aptos" w:hAnsi="Aptos"/>
          <w:color w:val="000000" w:themeColor="text1"/>
          <w:sz w:val="20"/>
          <w:szCs w:val="20"/>
          <w:lang w:val="en-US"/>
        </w:rPr>
      </w:pPr>
      <w:r w:rsidRPr="00823562">
        <w:rPr>
          <w:rFonts w:ascii="Aptos" w:hAnsi="Aptos"/>
          <w:color w:val="000000" w:themeColor="text1"/>
          <w:sz w:val="20"/>
          <w:szCs w:val="20"/>
          <w:lang w:val="en-US"/>
        </w:rPr>
        <w:tab/>
        <w:t>…e</w:t>
      </w:r>
      <w:r w:rsidR="009817A6" w:rsidRPr="00823562">
        <w:rPr>
          <w:rFonts w:ascii="Aptos" w:hAnsi="Aptos"/>
          <w:color w:val="000000" w:themeColor="text1"/>
          <w:sz w:val="20"/>
          <w:szCs w:val="20"/>
          <w:lang w:val="en-US"/>
        </w:rPr>
        <w:t>ven if such jargon is commonly understood in the industry.</w:t>
      </w:r>
      <w:bookmarkStart w:id="1" w:name="_Hlk167280971"/>
    </w:p>
    <w:p w14:paraId="6A9076B8" w14:textId="30B93F07" w:rsidR="001D5830" w:rsidRPr="00823562" w:rsidRDefault="009B3CC8" w:rsidP="00CE151E">
      <w:pPr>
        <w:widowControl/>
        <w:tabs>
          <w:tab w:val="left" w:pos="360"/>
        </w:tabs>
        <w:autoSpaceDE/>
        <w:autoSpaceDN/>
        <w:spacing w:before="80"/>
        <w:ind w:left="360" w:hanging="360"/>
        <w:rPr>
          <w:rFonts w:ascii="Aptos" w:hAnsi="Aptos"/>
          <w:color w:val="000000" w:themeColor="text1"/>
          <w:sz w:val="20"/>
          <w:szCs w:val="20"/>
          <w:lang w:val="en-US"/>
        </w:rPr>
      </w:pPr>
      <w:sdt>
        <w:sdtPr>
          <w:rPr>
            <w:rFonts w:ascii="Aptos" w:hAnsi="Aptos"/>
            <w:b/>
            <w:bCs/>
            <w:color w:val="000000" w:themeColor="text1"/>
            <w:sz w:val="20"/>
            <w:szCs w:val="20"/>
            <w:lang w:val="en-US"/>
          </w:rPr>
          <w:id w:val="-42481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049" w:rsidRPr="00823562">
            <w:rPr>
              <w:rFonts w:ascii="MS Gothic" w:eastAsia="MS Gothic" w:hAnsi="MS Gothic" w:hint="eastAsia"/>
              <w:b/>
              <w:bCs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ab/>
        <w:t xml:space="preserve">Definitions don’t </w:t>
      </w:r>
      <w:r w:rsidR="001D5830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include measurements or calculations</w:t>
      </w:r>
      <w:r w:rsidR="00355F56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,</w:t>
      </w:r>
      <w:r w:rsidR="001D5830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or the units in which a value is expressed</w:t>
      </w:r>
      <w:r w:rsidR="00997049" w:rsidRPr="00823562">
        <w:rPr>
          <w:rFonts w:ascii="Aptos" w:hAnsi="Aptos"/>
          <w:color w:val="000000" w:themeColor="text1"/>
          <w:sz w:val="20"/>
          <w:szCs w:val="20"/>
          <w:lang w:val="en-US"/>
        </w:rPr>
        <w:t>.</w:t>
      </w:r>
      <w:r w:rsidR="001D5830" w:rsidRPr="00823562">
        <w:rPr>
          <w:rFonts w:ascii="Aptos" w:hAnsi="Aptos"/>
          <w:color w:val="000000" w:themeColor="text1"/>
          <w:sz w:val="20"/>
          <w:szCs w:val="20"/>
          <w:lang w:val="en-US"/>
        </w:rPr>
        <w:t xml:space="preserve"> </w:t>
      </w:r>
    </w:p>
    <w:p w14:paraId="43276E59" w14:textId="77777777" w:rsidR="001D5830" w:rsidRPr="00823562" w:rsidRDefault="001D5830" w:rsidP="00997049">
      <w:pPr>
        <w:widowControl/>
        <w:autoSpaceDE/>
        <w:autoSpaceDN/>
        <w:spacing w:before="240" w:line="259" w:lineRule="auto"/>
        <w:ind w:left="446"/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</w:pPr>
      <w:r w:rsidRPr="00823562">
        <w:rPr>
          <w:rFonts w:ascii="Aptos" w:hAnsi="Aptos"/>
          <w:i/>
          <w:iCs/>
          <w:color w:val="000000" w:themeColor="text1"/>
          <w:sz w:val="20"/>
          <w:szCs w:val="20"/>
          <w:lang w:val="en-US"/>
        </w:rPr>
        <w:t>No:</w:t>
      </w:r>
    </w:p>
    <w:p w14:paraId="5AC12FB0" w14:textId="77777777" w:rsidR="001D5830" w:rsidRPr="00823562" w:rsidRDefault="001D5830" w:rsidP="00997049">
      <w:pPr>
        <w:widowControl/>
        <w:autoSpaceDE/>
        <w:autoSpaceDN/>
        <w:spacing w:after="160" w:line="259" w:lineRule="auto"/>
        <w:ind w:left="450"/>
        <w:contextualSpacing/>
        <w:rPr>
          <w:rFonts w:ascii="Aptos" w:hAnsi="Aptos"/>
          <w:sz w:val="20"/>
          <w:szCs w:val="20"/>
          <w:lang w:val="en-US"/>
        </w:rPr>
      </w:pPr>
      <w:r w:rsidRPr="00823562">
        <w:rPr>
          <w:rFonts w:ascii="Aptos" w:hAnsi="Aptos"/>
          <w:b/>
          <w:bCs/>
          <w:i/>
          <w:iCs/>
          <w:sz w:val="20"/>
          <w:szCs w:val="20"/>
          <w:lang w:val="en-US"/>
        </w:rPr>
        <w:t>particle counter sizing accuracy:</w:t>
      </w:r>
      <w:r w:rsidRPr="00823562">
        <w:rPr>
          <w:rFonts w:ascii="Aptos" w:hAnsi="Aptos"/>
          <w:b/>
          <w:bCs/>
          <w:sz w:val="20"/>
          <w:szCs w:val="20"/>
          <w:lang w:val="en-US"/>
        </w:rPr>
        <w:t xml:space="preserve"> </w:t>
      </w:r>
      <w:r w:rsidRPr="00823562">
        <w:rPr>
          <w:rFonts w:ascii="Aptos" w:hAnsi="Aptos"/>
          <w:sz w:val="20"/>
          <w:szCs w:val="20"/>
          <w:lang w:val="en-US"/>
        </w:rPr>
        <w:t xml:space="preserve">the sizing accuracy Ɛ(x) is determined by the function  </w:t>
      </w:r>
      <w:r w:rsidRPr="00823562">
        <w:rPr>
          <w:rFonts w:ascii="Aptos" w:hAnsi="Aptos"/>
          <w:position w:val="-32"/>
          <w:sz w:val="20"/>
          <w:szCs w:val="20"/>
        </w:rPr>
        <w:object w:dxaOrig="3240" w:dyaOrig="760" w14:anchorId="66FBF2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4pt;height:35.05pt" o:ole="">
            <v:imagedata r:id="rId8" o:title=""/>
          </v:shape>
          <o:OLEObject Type="Embed" ProgID="Equation.DSMT4" ShapeID="_x0000_i1025" DrawAspect="Content" ObjectID="_1817822836" r:id="rId9"/>
        </w:object>
      </w:r>
    </w:p>
    <w:p w14:paraId="404F473B" w14:textId="77777777" w:rsidR="001D5830" w:rsidRPr="00823562" w:rsidRDefault="001D5830" w:rsidP="00997049">
      <w:pPr>
        <w:widowControl/>
        <w:autoSpaceDE/>
        <w:autoSpaceDN/>
        <w:spacing w:after="160" w:line="259" w:lineRule="auto"/>
        <w:ind w:left="450"/>
        <w:contextualSpacing/>
        <w:rPr>
          <w:rFonts w:ascii="Aptos" w:hAnsi="Aptos"/>
          <w:sz w:val="20"/>
          <w:szCs w:val="20"/>
          <w:lang w:val="en-US"/>
        </w:rPr>
      </w:pPr>
      <w:r w:rsidRPr="00823562">
        <w:rPr>
          <w:rFonts w:ascii="Aptos" w:hAnsi="Aptos"/>
          <w:sz w:val="20"/>
          <w:szCs w:val="20"/>
          <w:lang w:val="en-US"/>
        </w:rPr>
        <w:t xml:space="preserve">Note, </w:t>
      </w:r>
      <w:r w:rsidRPr="00823562">
        <w:rPr>
          <w:rFonts w:ascii="Aptos" w:hAnsi="Aptos"/>
          <w:i/>
          <w:iCs/>
          <w:sz w:val="20"/>
          <w:szCs w:val="20"/>
          <w:lang w:val="en-US"/>
        </w:rPr>
        <w:t>x</w:t>
      </w:r>
      <w:r w:rsidRPr="00823562">
        <w:rPr>
          <w:rFonts w:ascii="Aptos" w:hAnsi="Aptos"/>
          <w:i/>
          <w:iCs/>
          <w:sz w:val="20"/>
          <w:szCs w:val="20"/>
          <w:vertAlign w:val="subscript"/>
          <w:lang w:val="en-US"/>
        </w:rPr>
        <w:t>measured</w:t>
      </w:r>
      <w:r w:rsidRPr="00823562">
        <w:rPr>
          <w:rFonts w:ascii="Aptos" w:hAnsi="Aptos"/>
          <w:sz w:val="20"/>
          <w:szCs w:val="20"/>
          <w:lang w:val="en-US"/>
        </w:rPr>
        <w:t xml:space="preserve"> is the particle size indicated by the counter for a reference particle and x</w:t>
      </w:r>
      <w:r w:rsidRPr="00823562">
        <w:rPr>
          <w:rFonts w:ascii="Aptos" w:hAnsi="Aptos"/>
          <w:i/>
          <w:iCs/>
          <w:sz w:val="20"/>
          <w:szCs w:val="20"/>
          <w:vertAlign w:val="subscript"/>
          <w:lang w:val="en-US"/>
        </w:rPr>
        <w:t>reference</w:t>
      </w:r>
      <w:r w:rsidRPr="00823562">
        <w:rPr>
          <w:rFonts w:ascii="Aptos" w:hAnsi="Aptos"/>
          <w:sz w:val="20"/>
          <w:szCs w:val="20"/>
          <w:vertAlign w:val="subscript"/>
          <w:lang w:val="en-US"/>
        </w:rPr>
        <w:t xml:space="preserve"> </w:t>
      </w:r>
      <w:r w:rsidRPr="00823562">
        <w:rPr>
          <w:rFonts w:ascii="Aptos" w:hAnsi="Aptos"/>
          <w:sz w:val="20"/>
          <w:szCs w:val="20"/>
          <w:lang w:val="en-US"/>
        </w:rPr>
        <w:t>is the actual size of the reference particle.</w:t>
      </w:r>
    </w:p>
    <w:p w14:paraId="3C6C8989" w14:textId="77777777" w:rsidR="001D5830" w:rsidRPr="00823562" w:rsidRDefault="001D5830" w:rsidP="00997049">
      <w:pPr>
        <w:widowControl/>
        <w:autoSpaceDE/>
        <w:autoSpaceDN/>
        <w:spacing w:after="160" w:line="259" w:lineRule="auto"/>
        <w:ind w:left="450" w:firstLine="720"/>
        <w:contextualSpacing/>
        <w:rPr>
          <w:rFonts w:ascii="Aptos" w:hAnsi="Aptos"/>
          <w:i/>
          <w:iCs/>
          <w:sz w:val="20"/>
          <w:szCs w:val="20"/>
          <w:lang w:val="en-US"/>
        </w:rPr>
      </w:pPr>
    </w:p>
    <w:p w14:paraId="2AE52436" w14:textId="77777777" w:rsidR="001D5830" w:rsidRPr="00823562" w:rsidRDefault="001D5830" w:rsidP="00997049">
      <w:pPr>
        <w:widowControl/>
        <w:autoSpaceDE/>
        <w:autoSpaceDN/>
        <w:spacing w:after="160" w:line="259" w:lineRule="auto"/>
        <w:ind w:left="450"/>
        <w:contextualSpacing/>
        <w:rPr>
          <w:rFonts w:ascii="Aptos" w:hAnsi="Aptos"/>
          <w:i/>
          <w:iCs/>
          <w:sz w:val="20"/>
          <w:szCs w:val="20"/>
          <w:lang w:val="en-US"/>
        </w:rPr>
      </w:pPr>
      <w:r w:rsidRPr="00823562">
        <w:rPr>
          <w:rFonts w:ascii="Aptos" w:hAnsi="Aptos"/>
          <w:i/>
          <w:iCs/>
          <w:sz w:val="20"/>
          <w:szCs w:val="20"/>
          <w:lang w:val="en-US"/>
        </w:rPr>
        <w:t>Yes:</w:t>
      </w:r>
    </w:p>
    <w:p w14:paraId="678D8E74" w14:textId="3B7388A0" w:rsidR="00EE216A" w:rsidRPr="00EF5493" w:rsidRDefault="001D5830" w:rsidP="00EF5493">
      <w:pPr>
        <w:widowControl/>
        <w:autoSpaceDE/>
        <w:autoSpaceDN/>
        <w:spacing w:after="160" w:line="259" w:lineRule="auto"/>
        <w:ind w:left="446"/>
        <w:rPr>
          <w:rFonts w:ascii="Aptos" w:hAnsi="Aptos"/>
          <w:color w:val="000000" w:themeColor="text1"/>
          <w:sz w:val="20"/>
          <w:szCs w:val="20"/>
          <w:lang w:val="en-US"/>
        </w:rPr>
      </w:pPr>
      <w:r w:rsidRPr="00823562">
        <w:rPr>
          <w:rFonts w:ascii="Aptos" w:hAnsi="Aptos"/>
          <w:b/>
          <w:bCs/>
          <w:i/>
          <w:iCs/>
          <w:sz w:val="20"/>
          <w:szCs w:val="20"/>
          <w:lang w:val="en-US"/>
        </w:rPr>
        <w:t>particle counter sizing accuracy:</w:t>
      </w:r>
      <w:r w:rsidRPr="00823562">
        <w:rPr>
          <w:rFonts w:ascii="Aptos" w:hAnsi="Aptos"/>
          <w:sz w:val="20"/>
          <w:szCs w:val="20"/>
          <w:lang w:val="en-US"/>
        </w:rPr>
        <w:t xml:space="preserve"> measure of the ability of an instrument to correctly determine the size of a reference particle of known size.</w:t>
      </w:r>
      <w:bookmarkEnd w:id="1"/>
    </w:p>
    <w:p w14:paraId="2206D677" w14:textId="36318935" w:rsidR="00997049" w:rsidRPr="00823562" w:rsidRDefault="009B3CC8" w:rsidP="00EF5493">
      <w:pPr>
        <w:widowControl/>
        <w:tabs>
          <w:tab w:val="left" w:pos="360"/>
        </w:tabs>
        <w:autoSpaceDE/>
        <w:autoSpaceDN/>
        <w:spacing w:before="80"/>
        <w:ind w:left="360" w:hanging="360"/>
        <w:rPr>
          <w:rFonts w:ascii="Aptos" w:hAnsi="Aptos"/>
          <w:color w:val="000000" w:themeColor="text1"/>
          <w:sz w:val="20"/>
          <w:szCs w:val="20"/>
          <w:lang w:val="en-US"/>
        </w:rPr>
      </w:pPr>
      <w:sdt>
        <w:sdtPr>
          <w:rPr>
            <w:rFonts w:ascii="Aptos" w:hAnsi="Aptos"/>
            <w:b/>
            <w:bCs/>
            <w:color w:val="000000" w:themeColor="text1"/>
            <w:sz w:val="20"/>
            <w:szCs w:val="20"/>
            <w:lang w:val="en-US"/>
          </w:rPr>
          <w:id w:val="-87746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493" w:rsidRPr="00823562">
            <w:rPr>
              <w:rFonts w:ascii="MS Gothic" w:eastAsia="MS Gothic" w:hAnsi="MS Gothic" w:hint="eastAsia"/>
              <w:b/>
              <w:bCs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EF5493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EF5493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ab/>
      </w:r>
      <w:r w:rsidR="00BC4F7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T</w:t>
      </w:r>
      <w:r w:rsidR="00F95C46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erms defined as verbs </w:t>
      </w:r>
      <w:r w:rsidR="00997049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are</w:t>
      </w:r>
      <w:r w:rsidR="00EE216A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462D34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n</w:t>
      </w:r>
      <w:r w:rsidR="00EE216A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o</w:t>
      </w:r>
      <w:r w:rsidR="00462D34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t </w:t>
      </w:r>
      <w:r w:rsidR="00F95C46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also used as nouns</w:t>
      </w:r>
      <w:r w:rsidR="00462D34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 xml:space="preserve"> (and vice versa)</w:t>
      </w:r>
      <w:r w:rsidR="00F95C46" w:rsidRPr="00823562">
        <w:rPr>
          <w:rFonts w:ascii="Aptos" w:hAnsi="Aptos"/>
          <w:b/>
          <w:bCs/>
          <w:color w:val="000000" w:themeColor="text1"/>
          <w:sz w:val="20"/>
          <w:szCs w:val="20"/>
          <w:lang w:val="en-US"/>
        </w:rPr>
        <w:t>.</w:t>
      </w:r>
    </w:p>
    <w:p w14:paraId="6440FAA2" w14:textId="7B5E5CE2" w:rsidR="00EE216A" w:rsidRPr="00EF5493" w:rsidRDefault="00F95C46" w:rsidP="00EF5493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/>
          <w:color w:val="000000" w:themeColor="text1"/>
          <w:sz w:val="20"/>
          <w:szCs w:val="20"/>
          <w:lang w:val="en-US"/>
        </w:rPr>
      </w:pPr>
      <w:r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The term </w:t>
      </w:r>
      <w:r w:rsidRPr="00EF5493">
        <w:rPr>
          <w:rFonts w:ascii="Aptos" w:hAnsi="Aptos"/>
          <w:i/>
          <w:iCs/>
          <w:color w:val="000000" w:themeColor="text1"/>
          <w:sz w:val="20"/>
          <w:szCs w:val="20"/>
          <w:lang w:val="en-US"/>
        </w:rPr>
        <w:t>control</w:t>
      </w:r>
      <w:r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 </w:t>
      </w:r>
      <w:r w:rsidR="00BC4F79" w:rsidRPr="00EF5493">
        <w:rPr>
          <w:rFonts w:ascii="Aptos" w:hAnsi="Aptos"/>
          <w:color w:val="000000" w:themeColor="text1"/>
          <w:sz w:val="20"/>
          <w:szCs w:val="20"/>
          <w:lang w:val="en-US"/>
        </w:rPr>
        <w:t>(v.)</w:t>
      </w:r>
      <w:r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, </w:t>
      </w:r>
      <w:r w:rsidR="00BC4F79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which defines an action, </w:t>
      </w:r>
      <w:r w:rsidRPr="00EF5493">
        <w:rPr>
          <w:rFonts w:ascii="Aptos" w:hAnsi="Aptos"/>
          <w:color w:val="000000" w:themeColor="text1"/>
          <w:sz w:val="20"/>
          <w:szCs w:val="20"/>
          <w:lang w:val="en-US"/>
        </w:rPr>
        <w:t>can’t also implicitly</w:t>
      </w:r>
      <w:r w:rsidRPr="00EF5493">
        <w:rPr>
          <w:rFonts w:ascii="Aptos" w:hAnsi="Aptos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462D34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refer to </w:t>
      </w:r>
      <w:r w:rsidRPr="00EF5493">
        <w:rPr>
          <w:rFonts w:ascii="Aptos" w:hAnsi="Aptos"/>
          <w:color w:val="000000" w:themeColor="text1"/>
          <w:sz w:val="20"/>
          <w:szCs w:val="20"/>
          <w:lang w:val="en-US"/>
        </w:rPr>
        <w:t>the thing performing the action</w:t>
      </w:r>
      <w:r w:rsidR="00BC4F79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 (</w:t>
      </w:r>
      <w:r w:rsidR="00BC4F79" w:rsidRPr="00EF5493">
        <w:rPr>
          <w:rFonts w:ascii="Aptos" w:hAnsi="Aptos"/>
          <w:i/>
          <w:iCs/>
          <w:color w:val="000000" w:themeColor="text1"/>
          <w:sz w:val="20"/>
          <w:szCs w:val="20"/>
          <w:lang w:val="en-US"/>
        </w:rPr>
        <w:t>control</w:t>
      </w:r>
      <w:r w:rsidR="00BC4F79" w:rsidRPr="00EF5493">
        <w:rPr>
          <w:rFonts w:ascii="Aptos" w:hAnsi="Aptos"/>
          <w:color w:val="000000" w:themeColor="text1"/>
          <w:sz w:val="20"/>
          <w:szCs w:val="20"/>
          <w:lang w:val="en-US"/>
        </w:rPr>
        <w:t>, n.)</w:t>
      </w:r>
      <w:r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. </w:t>
      </w:r>
    </w:p>
    <w:p w14:paraId="111D8FCC" w14:textId="77777777" w:rsidR="00997049" w:rsidRPr="00EF5493" w:rsidRDefault="00AC0410" w:rsidP="00EF5493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/>
          <w:color w:val="000000" w:themeColor="text1"/>
          <w:sz w:val="20"/>
          <w:szCs w:val="20"/>
          <w:lang w:val="en-US"/>
        </w:rPr>
      </w:pPr>
      <w:r w:rsidRPr="00EF5493">
        <w:rPr>
          <w:rFonts w:ascii="Aptos" w:hAnsi="Aptos"/>
          <w:color w:val="000000" w:themeColor="text1"/>
          <w:sz w:val="20"/>
          <w:szCs w:val="20"/>
          <w:lang w:val="en-US"/>
        </w:rPr>
        <w:t>N</w:t>
      </w:r>
      <w:r w:rsidR="00EE216A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ouns and verbs </w:t>
      </w:r>
      <w:r w:rsidRPr="00EF5493">
        <w:rPr>
          <w:rFonts w:ascii="Aptos" w:hAnsi="Aptos"/>
          <w:color w:val="000000" w:themeColor="text1"/>
          <w:sz w:val="20"/>
          <w:szCs w:val="20"/>
          <w:lang w:val="en-US"/>
        </w:rPr>
        <w:t>should be defined as</w:t>
      </w:r>
      <w:r w:rsidR="00EE216A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 different terms. For example,</w:t>
      </w:r>
      <w:r w:rsidR="00BC4F79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 </w:t>
      </w:r>
      <w:r w:rsidR="00BC4F79" w:rsidRPr="00EF5493">
        <w:rPr>
          <w:rFonts w:ascii="Aptos" w:hAnsi="Aptos"/>
          <w:i/>
          <w:iCs/>
          <w:color w:val="000000" w:themeColor="text1"/>
          <w:sz w:val="20"/>
          <w:szCs w:val="20"/>
          <w:lang w:val="en-US"/>
        </w:rPr>
        <w:t xml:space="preserve">control </w:t>
      </w:r>
      <w:r w:rsidR="00BC4F79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(v.) and </w:t>
      </w:r>
      <w:r w:rsidR="00F95C46" w:rsidRPr="00EF5493">
        <w:rPr>
          <w:rFonts w:ascii="Aptos" w:hAnsi="Aptos"/>
          <w:i/>
          <w:iCs/>
          <w:color w:val="000000" w:themeColor="text1"/>
          <w:sz w:val="20"/>
          <w:szCs w:val="20"/>
          <w:lang w:val="en-US"/>
        </w:rPr>
        <w:t>control device</w:t>
      </w:r>
      <w:r w:rsidR="00F95C46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 </w:t>
      </w:r>
      <w:r w:rsidR="00BC1A79" w:rsidRPr="00EF5493">
        <w:rPr>
          <w:rFonts w:ascii="Aptos" w:hAnsi="Aptos"/>
          <w:color w:val="000000" w:themeColor="text1"/>
          <w:sz w:val="20"/>
          <w:szCs w:val="20"/>
          <w:lang w:val="en-US"/>
        </w:rPr>
        <w:t>(n.)</w:t>
      </w:r>
      <w:r w:rsidR="00F95C46" w:rsidRPr="00EF5493">
        <w:rPr>
          <w:rFonts w:ascii="Aptos" w:hAnsi="Aptos"/>
          <w:color w:val="000000" w:themeColor="text1"/>
          <w:sz w:val="20"/>
          <w:szCs w:val="20"/>
          <w:lang w:val="en-US"/>
        </w:rPr>
        <w:t>.</w:t>
      </w:r>
    </w:p>
    <w:p w14:paraId="02F988EA" w14:textId="1AECFFC9" w:rsidR="00EE216A" w:rsidRPr="00EF5493" w:rsidRDefault="00EE216A" w:rsidP="00EF5493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/>
          <w:color w:val="000000" w:themeColor="text1"/>
          <w:sz w:val="20"/>
          <w:szCs w:val="20"/>
          <w:lang w:val="en-US"/>
        </w:rPr>
      </w:pPr>
      <w:r w:rsidRPr="00EF5493">
        <w:rPr>
          <w:rFonts w:ascii="Aptos" w:hAnsi="Aptos"/>
          <w:color w:val="000000" w:themeColor="text1"/>
          <w:sz w:val="20"/>
          <w:szCs w:val="20"/>
          <w:lang w:val="en-US"/>
        </w:rPr>
        <w:t>T</w:t>
      </w:r>
      <w:r w:rsidR="00F95C46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erms defined as nouns can </w:t>
      </w:r>
      <w:r w:rsidR="00355F56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also </w:t>
      </w:r>
      <w:r w:rsidR="00F95C46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be used as adjectives. The term </w:t>
      </w:r>
      <w:r w:rsidR="00F95C46" w:rsidRPr="00EF5493">
        <w:rPr>
          <w:rFonts w:ascii="Aptos" w:hAnsi="Aptos"/>
          <w:i/>
          <w:iCs/>
          <w:color w:val="000000" w:themeColor="text1"/>
          <w:sz w:val="20"/>
          <w:szCs w:val="20"/>
          <w:lang w:val="en-US"/>
        </w:rPr>
        <w:t>process load</w:t>
      </w:r>
      <w:r w:rsidR="00F95C46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 defines a kind of load. Used as an adjective</w:t>
      </w:r>
      <w:r w:rsidR="007D1CD9" w:rsidRPr="00EF5493">
        <w:rPr>
          <w:rFonts w:ascii="Aptos" w:hAnsi="Aptos"/>
          <w:color w:val="000000" w:themeColor="text1"/>
          <w:sz w:val="20"/>
          <w:szCs w:val="20"/>
          <w:lang w:val="en-US"/>
        </w:rPr>
        <w:t>—</w:t>
      </w:r>
      <w:r w:rsidR="00F95C46" w:rsidRPr="00EF5493">
        <w:rPr>
          <w:rFonts w:ascii="Aptos" w:hAnsi="Aptos"/>
          <w:i/>
          <w:iCs/>
          <w:color w:val="000000" w:themeColor="text1"/>
          <w:sz w:val="20"/>
          <w:szCs w:val="20"/>
          <w:lang w:val="en-US"/>
        </w:rPr>
        <w:t>process load</w:t>
      </w:r>
      <w:r w:rsidR="00F95C46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 calculation</w:t>
      </w:r>
      <w:r w:rsidR="007D1CD9" w:rsidRPr="00EF5493">
        <w:rPr>
          <w:rFonts w:ascii="Aptos" w:hAnsi="Aptos"/>
          <w:color w:val="000000" w:themeColor="text1"/>
          <w:sz w:val="20"/>
          <w:szCs w:val="20"/>
          <w:lang w:val="en-US"/>
        </w:rPr>
        <w:t>—</w:t>
      </w:r>
      <w:r w:rsidR="00F95C46" w:rsidRPr="00EF5493">
        <w:rPr>
          <w:rFonts w:ascii="Aptos" w:hAnsi="Aptos"/>
          <w:color w:val="000000" w:themeColor="text1"/>
          <w:sz w:val="20"/>
          <w:szCs w:val="20"/>
          <w:lang w:val="en-US"/>
        </w:rPr>
        <w:t>the term’s meaning doesn’t change</w:t>
      </w:r>
      <w:r w:rsidR="00355F56" w:rsidRPr="00EF5493">
        <w:rPr>
          <w:rFonts w:ascii="Aptos" w:hAnsi="Aptos"/>
          <w:color w:val="000000" w:themeColor="text1"/>
          <w:sz w:val="20"/>
          <w:szCs w:val="20"/>
          <w:lang w:val="en-US"/>
        </w:rPr>
        <w:t>, so it applies.</w:t>
      </w:r>
    </w:p>
    <w:p w14:paraId="12CD0A58" w14:textId="7B114BCB" w:rsidR="00EE216A" w:rsidRPr="00EF5493" w:rsidRDefault="00EE216A" w:rsidP="00EF5493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/>
          <w:color w:val="000000" w:themeColor="text1"/>
          <w:sz w:val="20"/>
          <w:szCs w:val="20"/>
          <w:lang w:val="en-US"/>
        </w:rPr>
      </w:pPr>
      <w:r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Single and plural forms of terms both </w:t>
      </w:r>
      <w:r w:rsidR="007D1CD9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always </w:t>
      </w:r>
      <w:r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have </w:t>
      </w:r>
      <w:r w:rsidR="007D1CD9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the </w:t>
      </w:r>
      <w:r w:rsidR="0064650D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same </w:t>
      </w:r>
      <w:r w:rsidR="007D1CD9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defined meaning. </w:t>
      </w:r>
      <w:r w:rsidR="007D1CD9" w:rsidRPr="00EF5493">
        <w:rPr>
          <w:rFonts w:ascii="Aptos" w:hAnsi="Aptos"/>
          <w:i/>
          <w:iCs/>
          <w:color w:val="000000" w:themeColor="text1"/>
          <w:sz w:val="20"/>
          <w:szCs w:val="20"/>
          <w:lang w:val="en-US"/>
        </w:rPr>
        <w:t>Building</w:t>
      </w:r>
      <w:r w:rsidR="007D1CD9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 and </w:t>
      </w:r>
      <w:r w:rsidR="007D1CD9" w:rsidRPr="00EF5493">
        <w:rPr>
          <w:rFonts w:ascii="Aptos" w:hAnsi="Aptos"/>
          <w:i/>
          <w:iCs/>
          <w:color w:val="000000" w:themeColor="text1"/>
          <w:sz w:val="20"/>
          <w:szCs w:val="20"/>
          <w:lang w:val="en-US"/>
        </w:rPr>
        <w:t>buildings</w:t>
      </w:r>
      <w:r w:rsidR="007D1CD9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 carry the same defined meaning, even if </w:t>
      </w:r>
      <w:r w:rsidR="007D1CD9" w:rsidRPr="00EF5493">
        <w:rPr>
          <w:rFonts w:ascii="Aptos" w:hAnsi="Aptos"/>
          <w:i/>
          <w:iCs/>
          <w:color w:val="000000" w:themeColor="text1"/>
          <w:sz w:val="20"/>
          <w:szCs w:val="20"/>
          <w:lang w:val="en-US"/>
        </w:rPr>
        <w:t>building</w:t>
      </w:r>
      <w:r w:rsidR="007D1CD9" w:rsidRPr="00EF5493">
        <w:rPr>
          <w:rFonts w:ascii="Aptos" w:hAnsi="Aptos"/>
          <w:color w:val="000000" w:themeColor="text1"/>
          <w:sz w:val="20"/>
          <w:szCs w:val="20"/>
          <w:lang w:val="en-US"/>
        </w:rPr>
        <w:t xml:space="preserve"> (singular) is what’s defined.</w:t>
      </w:r>
    </w:p>
    <w:sectPr w:rsidR="00EE216A" w:rsidRPr="00EF54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5DEBA" w14:textId="77777777" w:rsidR="00E535BE" w:rsidRDefault="00E535BE" w:rsidP="00E535BE">
      <w:r>
        <w:separator/>
      </w:r>
    </w:p>
  </w:endnote>
  <w:endnote w:type="continuationSeparator" w:id="0">
    <w:p w14:paraId="751C1462" w14:textId="77777777" w:rsidR="00E535BE" w:rsidRDefault="00E535BE" w:rsidP="00E5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562B9" w14:textId="77777777" w:rsidR="00E535BE" w:rsidRDefault="00E535BE" w:rsidP="00E535BE">
      <w:r>
        <w:separator/>
      </w:r>
    </w:p>
  </w:footnote>
  <w:footnote w:type="continuationSeparator" w:id="0">
    <w:p w14:paraId="0103365E" w14:textId="77777777" w:rsidR="00E535BE" w:rsidRDefault="00E535BE" w:rsidP="00E53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59C4"/>
    <w:multiLevelType w:val="hybridMultilevel"/>
    <w:tmpl w:val="B44AE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2147"/>
    <w:multiLevelType w:val="hybridMultilevel"/>
    <w:tmpl w:val="3A3A0E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329C"/>
    <w:multiLevelType w:val="hybridMultilevel"/>
    <w:tmpl w:val="80B2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33B0B"/>
    <w:multiLevelType w:val="hybridMultilevel"/>
    <w:tmpl w:val="08E0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2123"/>
    <w:multiLevelType w:val="hybridMultilevel"/>
    <w:tmpl w:val="D3BC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36004"/>
    <w:multiLevelType w:val="hybridMultilevel"/>
    <w:tmpl w:val="F9E0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F04F2"/>
    <w:multiLevelType w:val="hybridMultilevel"/>
    <w:tmpl w:val="BF20A2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4302"/>
    <w:multiLevelType w:val="hybridMultilevel"/>
    <w:tmpl w:val="EC587B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7211D"/>
    <w:multiLevelType w:val="hybridMultilevel"/>
    <w:tmpl w:val="07FCA5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35062">
    <w:abstractNumId w:val="6"/>
  </w:num>
  <w:num w:numId="2" w16cid:durableId="237254164">
    <w:abstractNumId w:val="0"/>
  </w:num>
  <w:num w:numId="3" w16cid:durableId="554782634">
    <w:abstractNumId w:val="8"/>
  </w:num>
  <w:num w:numId="4" w16cid:durableId="28724504">
    <w:abstractNumId w:val="7"/>
  </w:num>
  <w:num w:numId="5" w16cid:durableId="433981652">
    <w:abstractNumId w:val="1"/>
  </w:num>
  <w:num w:numId="6" w16cid:durableId="155730111">
    <w:abstractNumId w:val="3"/>
  </w:num>
  <w:num w:numId="7" w16cid:durableId="1452283834">
    <w:abstractNumId w:val="5"/>
  </w:num>
  <w:num w:numId="8" w16cid:durableId="1297182748">
    <w:abstractNumId w:val="4"/>
  </w:num>
  <w:num w:numId="9" w16cid:durableId="1460345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28"/>
    <w:rsid w:val="00011E95"/>
    <w:rsid w:val="00025BF7"/>
    <w:rsid w:val="000B3B57"/>
    <w:rsid w:val="00117A26"/>
    <w:rsid w:val="00122163"/>
    <w:rsid w:val="0013464A"/>
    <w:rsid w:val="001601EE"/>
    <w:rsid w:val="001619F2"/>
    <w:rsid w:val="001C3F37"/>
    <w:rsid w:val="001D5830"/>
    <w:rsid w:val="00201D28"/>
    <w:rsid w:val="00252979"/>
    <w:rsid w:val="002856F8"/>
    <w:rsid w:val="002D68E7"/>
    <w:rsid w:val="00311582"/>
    <w:rsid w:val="00314662"/>
    <w:rsid w:val="00355F56"/>
    <w:rsid w:val="003A04CE"/>
    <w:rsid w:val="003A5B65"/>
    <w:rsid w:val="003A5F74"/>
    <w:rsid w:val="003B0FF4"/>
    <w:rsid w:val="003F5C50"/>
    <w:rsid w:val="004249B3"/>
    <w:rsid w:val="004438A9"/>
    <w:rsid w:val="00462D34"/>
    <w:rsid w:val="004A68AD"/>
    <w:rsid w:val="004B107B"/>
    <w:rsid w:val="004B4A7B"/>
    <w:rsid w:val="004D4A84"/>
    <w:rsid w:val="004F24A7"/>
    <w:rsid w:val="004F3AE2"/>
    <w:rsid w:val="00547E25"/>
    <w:rsid w:val="00597C1D"/>
    <w:rsid w:val="005A092B"/>
    <w:rsid w:val="005B14AF"/>
    <w:rsid w:val="005E4C81"/>
    <w:rsid w:val="00603BB7"/>
    <w:rsid w:val="00616C21"/>
    <w:rsid w:val="00643F51"/>
    <w:rsid w:val="0064650D"/>
    <w:rsid w:val="0067430A"/>
    <w:rsid w:val="0068774E"/>
    <w:rsid w:val="00693160"/>
    <w:rsid w:val="0069340F"/>
    <w:rsid w:val="006C6B27"/>
    <w:rsid w:val="006D5E4C"/>
    <w:rsid w:val="007808EB"/>
    <w:rsid w:val="007828BE"/>
    <w:rsid w:val="00793074"/>
    <w:rsid w:val="007C20CA"/>
    <w:rsid w:val="007D1CD9"/>
    <w:rsid w:val="007F4BB7"/>
    <w:rsid w:val="0081579B"/>
    <w:rsid w:val="00823562"/>
    <w:rsid w:val="008772E2"/>
    <w:rsid w:val="008E3A32"/>
    <w:rsid w:val="009032E7"/>
    <w:rsid w:val="00907C9E"/>
    <w:rsid w:val="009130F5"/>
    <w:rsid w:val="00952DD5"/>
    <w:rsid w:val="00963B3F"/>
    <w:rsid w:val="009817A6"/>
    <w:rsid w:val="00997049"/>
    <w:rsid w:val="009B3CC8"/>
    <w:rsid w:val="009D7DB7"/>
    <w:rsid w:val="00A047D0"/>
    <w:rsid w:val="00A177FE"/>
    <w:rsid w:val="00A25BC7"/>
    <w:rsid w:val="00A82A45"/>
    <w:rsid w:val="00AA256F"/>
    <w:rsid w:val="00AC0410"/>
    <w:rsid w:val="00AE7031"/>
    <w:rsid w:val="00AF6729"/>
    <w:rsid w:val="00B1558C"/>
    <w:rsid w:val="00B42628"/>
    <w:rsid w:val="00BC01E3"/>
    <w:rsid w:val="00BC1A79"/>
    <w:rsid w:val="00BC3134"/>
    <w:rsid w:val="00BC4F79"/>
    <w:rsid w:val="00C311FF"/>
    <w:rsid w:val="00CC2316"/>
    <w:rsid w:val="00CE151E"/>
    <w:rsid w:val="00D04F34"/>
    <w:rsid w:val="00DB4613"/>
    <w:rsid w:val="00DD6165"/>
    <w:rsid w:val="00DF31FA"/>
    <w:rsid w:val="00E535BE"/>
    <w:rsid w:val="00E80CD6"/>
    <w:rsid w:val="00EE216A"/>
    <w:rsid w:val="00EF5493"/>
    <w:rsid w:val="00F3009B"/>
    <w:rsid w:val="00F95C46"/>
    <w:rsid w:val="00FC6DC2"/>
    <w:rsid w:val="00FE2381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04F5E1"/>
  <w15:chartTrackingRefBased/>
  <w15:docId w15:val="{079B6AA2-A7B5-49CF-8C2C-AC1EDB70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62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314662"/>
    <w:pPr>
      <w:spacing w:before="10"/>
      <w:ind w:left="110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314662"/>
    <w:pPr>
      <w:spacing w:before="70"/>
      <w:ind w:left="1100"/>
      <w:jc w:val="both"/>
      <w:outlineLvl w:val="1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4662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14662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146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1">
    <w:name w:val="toc 1"/>
    <w:basedOn w:val="Normal"/>
    <w:uiPriority w:val="1"/>
    <w:qFormat/>
    <w:rsid w:val="00314662"/>
    <w:pPr>
      <w:spacing w:before="90"/>
      <w:ind w:left="112"/>
    </w:pPr>
    <w:rPr>
      <w:rFonts w:ascii="Arial" w:eastAsia="Arial" w:hAnsi="Arial" w:cs="Arial"/>
      <w:sz w:val="20"/>
      <w:szCs w:val="20"/>
    </w:rPr>
  </w:style>
  <w:style w:type="paragraph" w:styleId="TOC2">
    <w:name w:val="toc 2"/>
    <w:basedOn w:val="Normal"/>
    <w:uiPriority w:val="1"/>
    <w:qFormat/>
    <w:rsid w:val="00314662"/>
    <w:pPr>
      <w:spacing w:before="90"/>
      <w:ind w:left="352"/>
    </w:pPr>
    <w:rPr>
      <w:rFonts w:ascii="Arial" w:eastAsia="Arial" w:hAnsi="Arial" w:cs="Arial"/>
      <w:sz w:val="20"/>
      <w:szCs w:val="20"/>
    </w:rPr>
  </w:style>
  <w:style w:type="paragraph" w:styleId="TOC3">
    <w:name w:val="toc 3"/>
    <w:basedOn w:val="Normal"/>
    <w:uiPriority w:val="1"/>
    <w:qFormat/>
    <w:rsid w:val="00314662"/>
    <w:pPr>
      <w:spacing w:before="89"/>
      <w:ind w:left="694" w:hanging="223"/>
    </w:pPr>
    <w:rPr>
      <w:rFonts w:ascii="Arial" w:eastAsia="Arial" w:hAnsi="Arial" w:cs="Arial"/>
      <w:sz w:val="20"/>
      <w:szCs w:val="20"/>
    </w:rPr>
  </w:style>
  <w:style w:type="paragraph" w:styleId="TOC4">
    <w:name w:val="toc 4"/>
    <w:basedOn w:val="Normal"/>
    <w:uiPriority w:val="1"/>
    <w:qFormat/>
    <w:rsid w:val="00314662"/>
    <w:pPr>
      <w:spacing w:before="1"/>
      <w:ind w:left="1434"/>
    </w:pPr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314662"/>
    <w:pPr>
      <w:spacing w:before="39"/>
      <w:ind w:left="2103" w:right="2197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14662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314662"/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1466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14662"/>
    <w:pPr>
      <w:spacing w:before="10"/>
      <w:ind w:left="1388" w:hanging="288"/>
    </w:pPr>
    <w:rPr>
      <w:rFonts w:eastAsia="Times New Roman" w:cs="Times New Roman"/>
    </w:rPr>
  </w:style>
  <w:style w:type="paragraph" w:customStyle="1" w:styleId="Terms">
    <w:name w:val="Term(s)"/>
    <w:basedOn w:val="Normal"/>
    <w:rsid w:val="00C311FF"/>
    <w:pPr>
      <w:widowControl/>
      <w:suppressAutoHyphens/>
      <w:autoSpaceDE/>
      <w:autoSpaceDN/>
      <w:spacing w:line="240" w:lineRule="atLeast"/>
    </w:pPr>
    <w:rPr>
      <w:rFonts w:ascii="Cambria" w:eastAsia="Calibri" w:hAnsi="Cambria" w:cs="Times New Roman"/>
      <w:b/>
      <w:lang w:val="en-GB"/>
    </w:rPr>
  </w:style>
  <w:style w:type="paragraph" w:customStyle="1" w:styleId="Definition">
    <w:name w:val="Definition"/>
    <w:basedOn w:val="Normal"/>
    <w:rsid w:val="00C311FF"/>
    <w:pPr>
      <w:widowControl/>
      <w:autoSpaceDE/>
      <w:autoSpaceDN/>
      <w:spacing w:after="240" w:line="230" w:lineRule="atLeast"/>
      <w:jc w:val="both"/>
    </w:pPr>
    <w:rPr>
      <w:rFonts w:ascii="Cambria" w:eastAsia="Calibri" w:hAnsi="Cambria" w:cs="Times New Roman"/>
      <w:lang w:val="en-GB"/>
    </w:rPr>
  </w:style>
  <w:style w:type="paragraph" w:customStyle="1" w:styleId="Formula">
    <w:name w:val="Formula"/>
    <w:basedOn w:val="Normal"/>
    <w:rsid w:val="00C311FF"/>
    <w:pPr>
      <w:widowControl/>
      <w:tabs>
        <w:tab w:val="right" w:pos="9749"/>
      </w:tabs>
      <w:autoSpaceDE/>
      <w:autoSpaceDN/>
      <w:spacing w:after="220" w:line="240" w:lineRule="atLeast"/>
      <w:ind w:left="403"/>
    </w:pPr>
    <w:rPr>
      <w:rFonts w:ascii="Cambria" w:eastAsia="Calibri" w:hAnsi="Cambria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5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5B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5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E0BB-35FD-4F11-94D6-2D158001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Kerr</dc:creator>
  <cp:keywords/>
  <dc:description/>
  <cp:lastModifiedBy>Matt Walker</cp:lastModifiedBy>
  <cp:revision>7</cp:revision>
  <dcterms:created xsi:type="dcterms:W3CDTF">2024-07-15T20:19:00Z</dcterms:created>
  <dcterms:modified xsi:type="dcterms:W3CDTF">2025-08-27T22:01:00Z</dcterms:modified>
</cp:coreProperties>
</file>