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07827" w14:textId="77777777" w:rsidR="0070321D" w:rsidRPr="0070321D" w:rsidRDefault="0070321D" w:rsidP="0070321D">
      <w:pPr>
        <w:shd w:val="clear" w:color="auto" w:fill="FFFFFF"/>
        <w:spacing w:after="0" w:line="270" w:lineRule="atLeast"/>
        <w:outlineLvl w:val="2"/>
        <w:rPr>
          <w:rFonts w:ascii="Trebuchet MS" w:eastAsia="Times New Roman" w:hAnsi="Trebuchet MS" w:cs="Times New Roman"/>
          <w:color w:val="006EC7"/>
          <w:sz w:val="27"/>
          <w:szCs w:val="27"/>
        </w:rPr>
      </w:pPr>
      <w:r w:rsidRPr="0070321D">
        <w:rPr>
          <w:rFonts w:ascii="Arial" w:eastAsia="Times New Roman" w:hAnsi="Arial" w:cs="Arial"/>
          <w:b/>
          <w:bCs/>
          <w:color w:val="006EC7"/>
          <w:sz w:val="27"/>
          <w:szCs w:val="27"/>
          <w:bdr w:val="none" w:sz="0" w:space="0" w:color="auto" w:frame="1"/>
        </w:rPr>
        <w:t>Overview of Award</w:t>
      </w:r>
    </w:p>
    <w:p w14:paraId="331E1F00" w14:textId="77777777" w:rsidR="0070321D" w:rsidRPr="0070321D" w:rsidRDefault="0070321D" w:rsidP="0070321D">
      <w:pPr>
        <w:shd w:val="clear" w:color="auto" w:fill="FFFFFF"/>
        <w:spacing w:after="0" w:line="270" w:lineRule="atLeast"/>
        <w:rPr>
          <w:rFonts w:ascii="Arial" w:eastAsia="Times New Roman" w:hAnsi="Arial" w:cs="Arial"/>
          <w:color w:val="333333"/>
          <w:sz w:val="20"/>
          <w:szCs w:val="20"/>
        </w:rPr>
      </w:pPr>
      <w:r w:rsidRPr="0070321D">
        <w:rPr>
          <w:rFonts w:ascii="Arial" w:eastAsia="Times New Roman" w:hAnsi="Arial" w:cs="Arial"/>
          <w:noProof/>
          <w:color w:val="333333"/>
          <w:sz w:val="20"/>
          <w:szCs w:val="20"/>
        </w:rPr>
        <w:drawing>
          <wp:inline distT="0" distB="0" distL="0" distR="0" wp14:anchorId="41C218D4" wp14:editId="4E3F43F9">
            <wp:extent cx="77470" cy="172720"/>
            <wp:effectExtent l="0" t="0" r="0" b="0"/>
            <wp:docPr id="1" name="Picture 1" descr="https://www.ashrae.org/images/arrow_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shrae.org/images/arrow_titl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70" cy="172720"/>
                    </a:xfrm>
                    <a:prstGeom prst="rect">
                      <a:avLst/>
                    </a:prstGeom>
                    <a:noFill/>
                    <a:ln>
                      <a:noFill/>
                    </a:ln>
                  </pic:spPr>
                </pic:pic>
              </a:graphicData>
            </a:graphic>
          </wp:inline>
        </w:drawing>
      </w:r>
    </w:p>
    <w:p w14:paraId="25980AA2" w14:textId="77777777" w:rsidR="002F7EE8" w:rsidRDefault="0070321D" w:rsidP="0070321D">
      <w:pPr>
        <w:shd w:val="clear" w:color="auto" w:fill="FFFFFF"/>
        <w:spacing w:after="0" w:line="270" w:lineRule="atLeast"/>
        <w:rPr>
          <w:rFonts w:ascii="Arial" w:eastAsia="Times New Roman" w:hAnsi="Arial" w:cs="Arial"/>
          <w:color w:val="333333"/>
          <w:sz w:val="20"/>
          <w:szCs w:val="20"/>
        </w:rPr>
      </w:pPr>
      <w:r w:rsidRPr="0070321D">
        <w:rPr>
          <w:rFonts w:ascii="Arial" w:eastAsia="Times New Roman" w:hAnsi="Arial" w:cs="Arial"/>
          <w:color w:val="333333"/>
          <w:sz w:val="20"/>
          <w:szCs w:val="20"/>
        </w:rPr>
        <w:t>A Grant-in-Aid is a grant of funds to a full-time graduate student of ASHRAE-related technologies. It is awarded once each year for use in the following academic year.</w:t>
      </w:r>
      <w:r>
        <w:rPr>
          <w:rFonts w:ascii="Arial" w:eastAsia="Times New Roman" w:hAnsi="Arial" w:cs="Arial"/>
          <w:color w:val="333333"/>
          <w:sz w:val="20"/>
          <w:szCs w:val="20"/>
        </w:rPr>
        <w:t xml:space="preserve">  </w:t>
      </w:r>
    </w:p>
    <w:p w14:paraId="54DCB534" w14:textId="77777777" w:rsidR="002F7EE8" w:rsidRDefault="002F7EE8" w:rsidP="0070321D">
      <w:pPr>
        <w:shd w:val="clear" w:color="auto" w:fill="FFFFFF"/>
        <w:spacing w:after="0" w:line="270" w:lineRule="atLeast"/>
        <w:rPr>
          <w:rFonts w:ascii="Arial" w:eastAsia="Times New Roman" w:hAnsi="Arial" w:cs="Arial"/>
          <w:color w:val="333333"/>
          <w:sz w:val="20"/>
          <w:szCs w:val="20"/>
        </w:rPr>
      </w:pPr>
    </w:p>
    <w:p w14:paraId="32206941" w14:textId="77777777" w:rsidR="002F7EE8" w:rsidRPr="002F7EE8" w:rsidRDefault="002F7EE8" w:rsidP="0070321D">
      <w:pPr>
        <w:shd w:val="clear" w:color="auto" w:fill="FFFFFF"/>
        <w:spacing w:after="0" w:line="270" w:lineRule="atLeast"/>
        <w:rPr>
          <w:rFonts w:ascii="Arial" w:eastAsia="Times New Roman" w:hAnsi="Arial" w:cs="Arial"/>
          <w:b/>
          <w:color w:val="333333"/>
          <w:sz w:val="20"/>
          <w:szCs w:val="20"/>
        </w:rPr>
      </w:pPr>
      <w:r>
        <w:rPr>
          <w:rFonts w:ascii="Arial" w:eastAsia="Times New Roman" w:hAnsi="Arial" w:cs="Arial"/>
          <w:b/>
          <w:color w:val="333333"/>
          <w:sz w:val="20"/>
          <w:szCs w:val="20"/>
        </w:rPr>
        <w:t>Past recipients of this award are NOT eligible to reapply for this award.</w:t>
      </w:r>
    </w:p>
    <w:p w14:paraId="2072A288" w14:textId="77777777" w:rsidR="002F7EE8" w:rsidRDefault="002F7EE8" w:rsidP="0070321D">
      <w:pPr>
        <w:shd w:val="clear" w:color="auto" w:fill="FFFFFF"/>
        <w:spacing w:after="0" w:line="270" w:lineRule="atLeast"/>
        <w:rPr>
          <w:rFonts w:ascii="Arial" w:eastAsia="Times New Roman" w:hAnsi="Arial" w:cs="Arial"/>
          <w:color w:val="333333"/>
          <w:sz w:val="20"/>
          <w:szCs w:val="20"/>
        </w:rPr>
      </w:pPr>
    </w:p>
    <w:p w14:paraId="68D1EC8F" w14:textId="77777777" w:rsidR="00D37636" w:rsidRDefault="0070321D" w:rsidP="00D37636">
      <w:pPr>
        <w:shd w:val="clear" w:color="auto" w:fill="FFFFFF"/>
        <w:spacing w:after="0" w:line="270" w:lineRule="atLeast"/>
        <w:jc w:val="both"/>
        <w:rPr>
          <w:rFonts w:ascii="Arial" w:eastAsia="Times New Roman" w:hAnsi="Arial" w:cs="Arial"/>
          <w:color w:val="333333"/>
          <w:sz w:val="20"/>
          <w:szCs w:val="20"/>
        </w:rPr>
      </w:pPr>
      <w:r w:rsidRPr="0070321D">
        <w:rPr>
          <w:rFonts w:ascii="Arial" w:eastAsia="Times New Roman" w:hAnsi="Arial" w:cs="Arial"/>
          <w:color w:val="333333"/>
          <w:sz w:val="20"/>
          <w:szCs w:val="20"/>
        </w:rPr>
        <w:t xml:space="preserve">Multiple awards (typically 10 to 25) are made each year in the amount of </w:t>
      </w:r>
      <w:r w:rsidR="0008475A">
        <w:rPr>
          <w:rFonts w:ascii="Arial" w:eastAsia="Times New Roman" w:hAnsi="Arial" w:cs="Arial"/>
          <w:color w:val="333333"/>
          <w:sz w:val="20"/>
          <w:szCs w:val="20"/>
        </w:rPr>
        <w:t xml:space="preserve">up to </w:t>
      </w:r>
      <w:r w:rsidRPr="0070321D">
        <w:rPr>
          <w:rFonts w:ascii="Arial" w:eastAsia="Times New Roman" w:hAnsi="Arial" w:cs="Arial"/>
          <w:color w:val="333333"/>
          <w:sz w:val="20"/>
          <w:szCs w:val="20"/>
        </w:rPr>
        <w:t>$10,000. The awards are meant for the students’ personal use while pursuing an HVAC&amp;R related education.</w:t>
      </w:r>
      <w:r w:rsidR="002F7EE8">
        <w:rPr>
          <w:rFonts w:ascii="Arial" w:eastAsia="Times New Roman" w:hAnsi="Arial" w:cs="Arial"/>
          <w:color w:val="333333"/>
          <w:sz w:val="20"/>
          <w:szCs w:val="20"/>
        </w:rPr>
        <w:t xml:space="preserve">  </w:t>
      </w:r>
      <w:r w:rsidRPr="0070321D">
        <w:rPr>
          <w:rFonts w:ascii="Arial" w:eastAsia="Times New Roman" w:hAnsi="Arial" w:cs="Arial"/>
          <w:color w:val="333333"/>
          <w:sz w:val="20"/>
          <w:szCs w:val="20"/>
        </w:rPr>
        <w:t>The goal of the Grant-In-Aid program is to encourage outstanding graduate students to become involved in ASHRAE</w:t>
      </w:r>
      <w:r>
        <w:rPr>
          <w:rFonts w:ascii="Arial" w:eastAsia="Times New Roman" w:hAnsi="Arial" w:cs="Arial"/>
          <w:color w:val="333333"/>
          <w:sz w:val="20"/>
          <w:szCs w:val="20"/>
        </w:rPr>
        <w:t>, its</w:t>
      </w:r>
      <w:r w:rsidRPr="0070321D">
        <w:rPr>
          <w:rFonts w:ascii="Arial" w:eastAsia="Times New Roman" w:hAnsi="Arial" w:cs="Arial"/>
          <w:color w:val="333333"/>
          <w:sz w:val="20"/>
          <w:szCs w:val="20"/>
        </w:rPr>
        <w:t xml:space="preserve"> research and establish careers that include active engagement within and continued contributions to Society activities. </w:t>
      </w:r>
      <w:r w:rsidR="009142D8">
        <w:rPr>
          <w:rFonts w:ascii="Arial" w:eastAsia="Times New Roman" w:hAnsi="Arial" w:cs="Arial"/>
          <w:color w:val="333333"/>
          <w:sz w:val="20"/>
          <w:szCs w:val="20"/>
        </w:rPr>
        <w:t xml:space="preserve"> Part of the award will be used to pay for</w:t>
      </w:r>
      <w:r w:rsidR="00BC4CFC">
        <w:rPr>
          <w:rFonts w:ascii="Arial" w:eastAsia="Times New Roman" w:hAnsi="Arial" w:cs="Arial"/>
          <w:color w:val="333333"/>
          <w:sz w:val="20"/>
          <w:szCs w:val="20"/>
        </w:rPr>
        <w:t xml:space="preserve"> the student’s</w:t>
      </w:r>
      <w:r w:rsidR="009142D8">
        <w:rPr>
          <w:rFonts w:ascii="Arial" w:eastAsia="Times New Roman" w:hAnsi="Arial" w:cs="Arial"/>
          <w:color w:val="333333"/>
          <w:sz w:val="20"/>
          <w:szCs w:val="20"/>
        </w:rPr>
        <w:t xml:space="preserve"> travel and registration for </w:t>
      </w:r>
      <w:r w:rsidR="00BC4CFC">
        <w:rPr>
          <w:rFonts w:ascii="Arial" w:eastAsia="Times New Roman" w:hAnsi="Arial" w:cs="Arial"/>
          <w:color w:val="333333"/>
          <w:sz w:val="20"/>
          <w:szCs w:val="20"/>
        </w:rPr>
        <w:t xml:space="preserve">one </w:t>
      </w:r>
      <w:r w:rsidR="009142D8">
        <w:rPr>
          <w:rFonts w:ascii="Arial" w:eastAsia="Times New Roman" w:hAnsi="Arial" w:cs="Arial"/>
          <w:color w:val="333333"/>
          <w:sz w:val="20"/>
          <w:szCs w:val="20"/>
        </w:rPr>
        <w:t>Society Winter or Annual meeting</w:t>
      </w:r>
      <w:r w:rsidR="00BC4CFC">
        <w:rPr>
          <w:rFonts w:ascii="Arial" w:eastAsia="Times New Roman" w:hAnsi="Arial" w:cs="Arial"/>
          <w:color w:val="333333"/>
          <w:sz w:val="20"/>
          <w:szCs w:val="20"/>
        </w:rPr>
        <w:t xml:space="preserve"> </w:t>
      </w:r>
      <w:r w:rsidR="00CC2D02">
        <w:rPr>
          <w:rFonts w:ascii="Arial" w:eastAsia="Times New Roman" w:hAnsi="Arial" w:cs="Arial"/>
          <w:color w:val="333333"/>
          <w:sz w:val="20"/>
          <w:szCs w:val="20"/>
        </w:rPr>
        <w:t>within the 18 months</w:t>
      </w:r>
      <w:r w:rsidR="00BC4CFC">
        <w:rPr>
          <w:rFonts w:ascii="Arial" w:eastAsia="Times New Roman" w:hAnsi="Arial" w:cs="Arial"/>
          <w:color w:val="333333"/>
          <w:sz w:val="20"/>
          <w:szCs w:val="20"/>
        </w:rPr>
        <w:t xml:space="preserve"> following notification of award</w:t>
      </w:r>
      <w:r w:rsidR="009142D8">
        <w:rPr>
          <w:rFonts w:ascii="Arial" w:eastAsia="Times New Roman" w:hAnsi="Arial" w:cs="Arial"/>
          <w:color w:val="333333"/>
          <w:sz w:val="20"/>
          <w:szCs w:val="20"/>
        </w:rPr>
        <w:t xml:space="preserve">.  </w:t>
      </w:r>
      <w:r w:rsidR="00CC2D02">
        <w:rPr>
          <w:rFonts w:ascii="Arial" w:eastAsia="Times New Roman" w:hAnsi="Arial" w:cs="Arial"/>
          <w:color w:val="333333"/>
          <w:sz w:val="20"/>
          <w:szCs w:val="20"/>
        </w:rPr>
        <w:t>An award in the amount of $5,000</w:t>
      </w:r>
      <w:r w:rsidR="009142D8">
        <w:rPr>
          <w:rFonts w:ascii="Arial" w:eastAsia="Times New Roman" w:hAnsi="Arial" w:cs="Arial"/>
          <w:color w:val="333333"/>
          <w:sz w:val="20"/>
          <w:szCs w:val="20"/>
        </w:rPr>
        <w:t xml:space="preserve"> will be paid upon confirmation of the </w:t>
      </w:r>
      <w:r w:rsidR="00DF759F">
        <w:rPr>
          <w:rFonts w:ascii="Arial" w:eastAsia="Times New Roman" w:hAnsi="Arial" w:cs="Arial"/>
          <w:color w:val="333333"/>
          <w:sz w:val="20"/>
          <w:szCs w:val="20"/>
        </w:rPr>
        <w:t>student’s</w:t>
      </w:r>
      <w:r w:rsidR="009142D8">
        <w:rPr>
          <w:rFonts w:ascii="Arial" w:eastAsia="Times New Roman" w:hAnsi="Arial" w:cs="Arial"/>
          <w:color w:val="333333"/>
          <w:sz w:val="20"/>
          <w:szCs w:val="20"/>
        </w:rPr>
        <w:t xml:space="preserve"> enrollment.  </w:t>
      </w:r>
      <w:r w:rsidR="00CC2D02">
        <w:rPr>
          <w:rFonts w:ascii="Arial" w:eastAsia="Times New Roman" w:hAnsi="Arial" w:cs="Arial"/>
          <w:color w:val="333333"/>
          <w:sz w:val="20"/>
          <w:szCs w:val="20"/>
        </w:rPr>
        <w:t>An additional $5,000</w:t>
      </w:r>
      <w:r w:rsidR="009142D8">
        <w:rPr>
          <w:rFonts w:ascii="Arial" w:eastAsia="Times New Roman" w:hAnsi="Arial" w:cs="Arial"/>
          <w:color w:val="333333"/>
          <w:sz w:val="20"/>
          <w:szCs w:val="20"/>
        </w:rPr>
        <w:t xml:space="preserve"> shall be paid upon receipt of </w:t>
      </w:r>
      <w:r w:rsidR="00BC4CFC">
        <w:rPr>
          <w:rFonts w:ascii="Arial" w:eastAsia="Times New Roman" w:hAnsi="Arial" w:cs="Arial"/>
          <w:color w:val="333333"/>
          <w:sz w:val="20"/>
          <w:szCs w:val="20"/>
        </w:rPr>
        <w:t>a</w:t>
      </w:r>
      <w:r w:rsidR="009142D8">
        <w:rPr>
          <w:rFonts w:ascii="Arial" w:eastAsia="Times New Roman" w:hAnsi="Arial" w:cs="Arial"/>
          <w:color w:val="333333"/>
          <w:sz w:val="20"/>
          <w:szCs w:val="20"/>
        </w:rPr>
        <w:t xml:space="preserve"> report </w:t>
      </w:r>
      <w:r w:rsidR="00BC4CFC">
        <w:rPr>
          <w:rFonts w:ascii="Arial" w:eastAsia="Times New Roman" w:hAnsi="Arial" w:cs="Arial"/>
          <w:color w:val="333333"/>
          <w:sz w:val="20"/>
          <w:szCs w:val="20"/>
        </w:rPr>
        <w:t xml:space="preserve">prepared by </w:t>
      </w:r>
      <w:r w:rsidR="009142D8">
        <w:rPr>
          <w:rFonts w:ascii="Arial" w:eastAsia="Times New Roman" w:hAnsi="Arial" w:cs="Arial"/>
          <w:color w:val="333333"/>
          <w:sz w:val="20"/>
          <w:szCs w:val="20"/>
        </w:rPr>
        <w:t>the awardee</w:t>
      </w:r>
      <w:r w:rsidR="00BC4CFC">
        <w:rPr>
          <w:rFonts w:ascii="Arial" w:eastAsia="Times New Roman" w:hAnsi="Arial" w:cs="Arial"/>
          <w:color w:val="333333"/>
          <w:sz w:val="20"/>
          <w:szCs w:val="20"/>
        </w:rPr>
        <w:t xml:space="preserve"> documenting his/her</w:t>
      </w:r>
      <w:r w:rsidR="009142D8">
        <w:rPr>
          <w:rFonts w:ascii="Arial" w:eastAsia="Times New Roman" w:hAnsi="Arial" w:cs="Arial"/>
          <w:color w:val="333333"/>
          <w:sz w:val="20"/>
          <w:szCs w:val="20"/>
        </w:rPr>
        <w:t xml:space="preserve"> attendance at </w:t>
      </w:r>
      <w:r w:rsidR="00487AE7">
        <w:rPr>
          <w:rFonts w:ascii="Arial" w:eastAsia="Times New Roman" w:hAnsi="Arial" w:cs="Arial"/>
          <w:color w:val="333333"/>
          <w:sz w:val="20"/>
          <w:szCs w:val="20"/>
        </w:rPr>
        <w:t>one of the next three</w:t>
      </w:r>
      <w:r w:rsidR="009142D8">
        <w:rPr>
          <w:rFonts w:ascii="Arial" w:eastAsia="Times New Roman" w:hAnsi="Arial" w:cs="Arial"/>
          <w:color w:val="333333"/>
          <w:sz w:val="20"/>
          <w:szCs w:val="20"/>
        </w:rPr>
        <w:t xml:space="preserve"> ASHRAE Society meeting</w:t>
      </w:r>
      <w:r w:rsidR="00487AE7">
        <w:rPr>
          <w:rFonts w:ascii="Arial" w:eastAsia="Times New Roman" w:hAnsi="Arial" w:cs="Arial"/>
          <w:color w:val="333333"/>
          <w:sz w:val="20"/>
          <w:szCs w:val="20"/>
        </w:rPr>
        <w:t>s following the award; these funds will be retained by ASHRAE if</w:t>
      </w:r>
      <w:r w:rsidR="009142D8">
        <w:rPr>
          <w:rFonts w:ascii="Arial" w:eastAsia="Times New Roman" w:hAnsi="Arial" w:cs="Arial"/>
          <w:color w:val="333333"/>
          <w:sz w:val="20"/>
          <w:szCs w:val="20"/>
        </w:rPr>
        <w:t xml:space="preserve"> the awardee does not attend </w:t>
      </w:r>
      <w:r w:rsidR="00487AE7">
        <w:rPr>
          <w:rFonts w:ascii="Arial" w:eastAsia="Times New Roman" w:hAnsi="Arial" w:cs="Arial"/>
          <w:color w:val="333333"/>
          <w:sz w:val="20"/>
          <w:szCs w:val="20"/>
        </w:rPr>
        <w:t>one of these</w:t>
      </w:r>
      <w:r w:rsidR="009142D8">
        <w:rPr>
          <w:rFonts w:ascii="Arial" w:eastAsia="Times New Roman" w:hAnsi="Arial" w:cs="Arial"/>
          <w:color w:val="333333"/>
          <w:sz w:val="20"/>
          <w:szCs w:val="20"/>
        </w:rPr>
        <w:t xml:space="preserve"> meeting</w:t>
      </w:r>
      <w:r w:rsidR="00487AE7">
        <w:rPr>
          <w:rFonts w:ascii="Arial" w:eastAsia="Times New Roman" w:hAnsi="Arial" w:cs="Arial"/>
          <w:color w:val="333333"/>
          <w:sz w:val="20"/>
          <w:szCs w:val="20"/>
        </w:rPr>
        <w:t>s</w:t>
      </w:r>
      <w:r w:rsidR="009142D8">
        <w:rPr>
          <w:rFonts w:ascii="Arial" w:eastAsia="Times New Roman" w:hAnsi="Arial" w:cs="Arial"/>
          <w:color w:val="333333"/>
          <w:sz w:val="20"/>
          <w:szCs w:val="20"/>
        </w:rPr>
        <w:t xml:space="preserve">. </w:t>
      </w:r>
    </w:p>
    <w:p w14:paraId="586D09C8" w14:textId="77777777" w:rsidR="00D37636" w:rsidRDefault="00D37636" w:rsidP="00D37636">
      <w:pPr>
        <w:shd w:val="clear" w:color="auto" w:fill="FFFFFF"/>
        <w:spacing w:after="0" w:line="270" w:lineRule="atLeast"/>
        <w:jc w:val="both"/>
        <w:rPr>
          <w:rFonts w:ascii="Arial" w:eastAsia="Times New Roman" w:hAnsi="Arial" w:cs="Arial"/>
          <w:color w:val="333333"/>
          <w:sz w:val="20"/>
          <w:szCs w:val="20"/>
        </w:rPr>
      </w:pPr>
    </w:p>
    <w:p w14:paraId="6A1D23B5" w14:textId="77777777" w:rsidR="00D37636" w:rsidRDefault="00CC2D02" w:rsidP="00D37636">
      <w:pPr>
        <w:shd w:val="clear" w:color="auto" w:fill="FFFFFF"/>
        <w:spacing w:after="0" w:line="270" w:lineRule="atLeast"/>
        <w:jc w:val="both"/>
        <w:rPr>
          <w:rFonts w:ascii="Arial" w:eastAsia="Times New Roman" w:hAnsi="Arial" w:cs="Arial"/>
          <w:color w:val="333333"/>
          <w:sz w:val="20"/>
          <w:szCs w:val="20"/>
        </w:rPr>
      </w:pPr>
      <w:r>
        <w:rPr>
          <w:rFonts w:ascii="Arial" w:eastAsia="Times New Roman" w:hAnsi="Arial" w:cs="Arial"/>
          <w:color w:val="333333"/>
          <w:sz w:val="20"/>
          <w:szCs w:val="20"/>
        </w:rPr>
        <w:t xml:space="preserve">In addition, </w:t>
      </w:r>
      <w:r w:rsidR="009142D8" w:rsidRPr="009142D8">
        <w:rPr>
          <w:rFonts w:ascii="Arial" w:eastAsia="Times New Roman" w:hAnsi="Arial" w:cs="Arial"/>
          <w:color w:val="333333"/>
          <w:sz w:val="20"/>
          <w:szCs w:val="20"/>
        </w:rPr>
        <w:t>grant-in-aid</w:t>
      </w:r>
      <w:r w:rsidR="009142D8">
        <w:rPr>
          <w:rFonts w:ascii="Arial" w:eastAsia="Times New Roman" w:hAnsi="Arial" w:cs="Arial"/>
          <w:color w:val="333333"/>
          <w:sz w:val="20"/>
          <w:szCs w:val="20"/>
        </w:rPr>
        <w:t xml:space="preserve"> </w:t>
      </w:r>
      <w:r w:rsidR="009142D8" w:rsidRPr="009142D8">
        <w:rPr>
          <w:rFonts w:ascii="Arial" w:eastAsia="Times New Roman" w:hAnsi="Arial" w:cs="Arial"/>
          <w:color w:val="333333"/>
          <w:sz w:val="20"/>
          <w:szCs w:val="20"/>
        </w:rPr>
        <w:t xml:space="preserve">recipients </w:t>
      </w:r>
      <w:r>
        <w:rPr>
          <w:rFonts w:ascii="Arial" w:eastAsia="Times New Roman" w:hAnsi="Arial" w:cs="Arial"/>
          <w:color w:val="333333"/>
          <w:sz w:val="20"/>
          <w:szCs w:val="20"/>
        </w:rPr>
        <w:t xml:space="preserve">are eligible for an additional </w:t>
      </w:r>
      <w:r w:rsidR="009142D8" w:rsidRPr="009142D8">
        <w:rPr>
          <w:rFonts w:ascii="Arial" w:eastAsia="Times New Roman" w:hAnsi="Arial" w:cs="Arial"/>
          <w:color w:val="333333"/>
          <w:sz w:val="20"/>
          <w:szCs w:val="20"/>
        </w:rPr>
        <w:t>$1,500.00 honorarium if they author and present a peer-reviewed paper at an</w:t>
      </w:r>
      <w:r w:rsidR="009142D8">
        <w:rPr>
          <w:rFonts w:ascii="Arial" w:eastAsia="Times New Roman" w:hAnsi="Arial" w:cs="Arial"/>
          <w:color w:val="333333"/>
          <w:sz w:val="20"/>
          <w:szCs w:val="20"/>
        </w:rPr>
        <w:t xml:space="preserve"> </w:t>
      </w:r>
      <w:r w:rsidR="009142D8" w:rsidRPr="009142D8">
        <w:rPr>
          <w:rFonts w:ascii="Arial" w:eastAsia="Times New Roman" w:hAnsi="Arial" w:cs="Arial"/>
          <w:color w:val="333333"/>
          <w:sz w:val="20"/>
          <w:szCs w:val="20"/>
        </w:rPr>
        <w:t xml:space="preserve">ASHRAE annual or winter meeting or submit an article that is published in the </w:t>
      </w:r>
      <w:r w:rsidR="00333E18">
        <w:rPr>
          <w:rFonts w:ascii="Arial" w:eastAsia="Times New Roman" w:hAnsi="Arial" w:cs="Arial"/>
          <w:color w:val="333333"/>
          <w:sz w:val="20"/>
          <w:szCs w:val="20"/>
        </w:rPr>
        <w:t>Science and Technology for The Built Environment</w:t>
      </w:r>
      <w:r w:rsidR="00886007">
        <w:rPr>
          <w:rFonts w:ascii="Arial" w:eastAsia="Times New Roman" w:hAnsi="Arial" w:cs="Arial"/>
          <w:color w:val="333333"/>
          <w:sz w:val="20"/>
          <w:szCs w:val="20"/>
        </w:rPr>
        <w:t>.  T</w:t>
      </w:r>
      <w:r w:rsidR="009142D8" w:rsidRPr="009142D8">
        <w:rPr>
          <w:rFonts w:ascii="Arial" w:eastAsia="Times New Roman" w:hAnsi="Arial" w:cs="Arial"/>
          <w:color w:val="333333"/>
          <w:sz w:val="20"/>
          <w:szCs w:val="20"/>
        </w:rPr>
        <w:t xml:space="preserve">he presentation or publication must be based on the </w:t>
      </w:r>
      <w:r w:rsidR="009142D8">
        <w:rPr>
          <w:rFonts w:ascii="Arial" w:eastAsia="Times New Roman" w:hAnsi="Arial" w:cs="Arial"/>
          <w:color w:val="333333"/>
          <w:sz w:val="20"/>
          <w:szCs w:val="20"/>
        </w:rPr>
        <w:t>thesis/</w:t>
      </w:r>
      <w:r w:rsidR="009142D8" w:rsidRPr="009142D8">
        <w:rPr>
          <w:rFonts w:ascii="Arial" w:eastAsia="Times New Roman" w:hAnsi="Arial" w:cs="Arial"/>
          <w:color w:val="333333"/>
          <w:sz w:val="20"/>
          <w:szCs w:val="20"/>
        </w:rPr>
        <w:t>research supported by the grant-in</w:t>
      </w:r>
      <w:r>
        <w:rPr>
          <w:rFonts w:ascii="Arial" w:eastAsia="Times New Roman" w:hAnsi="Arial" w:cs="Arial"/>
          <w:color w:val="333333"/>
          <w:sz w:val="20"/>
          <w:szCs w:val="20"/>
        </w:rPr>
        <w:t>-</w:t>
      </w:r>
      <w:r w:rsidR="009142D8" w:rsidRPr="009142D8">
        <w:rPr>
          <w:rFonts w:ascii="Arial" w:eastAsia="Times New Roman" w:hAnsi="Arial" w:cs="Arial"/>
          <w:color w:val="333333"/>
          <w:sz w:val="20"/>
          <w:szCs w:val="20"/>
        </w:rPr>
        <w:t>aid.</w:t>
      </w:r>
      <w:r w:rsidR="009142D8">
        <w:rPr>
          <w:rFonts w:ascii="Arial" w:eastAsia="Times New Roman" w:hAnsi="Arial" w:cs="Arial"/>
          <w:color w:val="333333"/>
          <w:sz w:val="20"/>
          <w:szCs w:val="20"/>
        </w:rPr>
        <w:t xml:space="preserve">  </w:t>
      </w:r>
      <w:r w:rsidR="009142D8" w:rsidRPr="009142D8">
        <w:rPr>
          <w:rFonts w:ascii="Arial" w:eastAsia="Times New Roman" w:hAnsi="Arial" w:cs="Arial"/>
          <w:color w:val="333333"/>
          <w:sz w:val="20"/>
          <w:szCs w:val="20"/>
        </w:rPr>
        <w:t>The honorarium will be paid by the Manager of Research and Technical Services (MORTS) to the</w:t>
      </w:r>
      <w:r w:rsidR="009142D8">
        <w:rPr>
          <w:rFonts w:ascii="Arial" w:eastAsia="Times New Roman" w:hAnsi="Arial" w:cs="Arial"/>
          <w:color w:val="333333"/>
          <w:sz w:val="20"/>
          <w:szCs w:val="20"/>
        </w:rPr>
        <w:t xml:space="preserve"> </w:t>
      </w:r>
      <w:r w:rsidR="009142D8" w:rsidRPr="009142D8">
        <w:rPr>
          <w:rFonts w:ascii="Arial" w:eastAsia="Times New Roman" w:hAnsi="Arial" w:cs="Arial"/>
          <w:color w:val="333333"/>
          <w:sz w:val="20"/>
          <w:szCs w:val="20"/>
        </w:rPr>
        <w:t>GIA recipient upon confirmation of presentation or publication of the paper</w:t>
      </w:r>
      <w:r w:rsidR="00886007">
        <w:rPr>
          <w:rFonts w:ascii="Arial" w:eastAsia="Times New Roman" w:hAnsi="Arial" w:cs="Arial"/>
          <w:color w:val="333333"/>
          <w:sz w:val="20"/>
          <w:szCs w:val="20"/>
        </w:rPr>
        <w:t>.</w:t>
      </w:r>
      <w:r w:rsidR="00D37636">
        <w:rPr>
          <w:rFonts w:ascii="Arial" w:eastAsia="Times New Roman" w:hAnsi="Arial" w:cs="Arial"/>
          <w:color w:val="333333"/>
          <w:sz w:val="20"/>
          <w:szCs w:val="20"/>
        </w:rPr>
        <w:t xml:space="preserve"> </w:t>
      </w:r>
    </w:p>
    <w:p w14:paraId="7AEFBFBA" w14:textId="77777777" w:rsidR="00D37636" w:rsidRDefault="00D37636" w:rsidP="00D37636">
      <w:pPr>
        <w:shd w:val="clear" w:color="auto" w:fill="FFFFFF"/>
        <w:spacing w:after="0" w:line="270" w:lineRule="atLeast"/>
        <w:jc w:val="both"/>
        <w:rPr>
          <w:rFonts w:ascii="Arial" w:eastAsia="Times New Roman" w:hAnsi="Arial" w:cs="Arial"/>
          <w:color w:val="333333"/>
          <w:sz w:val="20"/>
          <w:szCs w:val="20"/>
        </w:rPr>
      </w:pPr>
    </w:p>
    <w:p w14:paraId="5A9B2EC4" w14:textId="77777777" w:rsidR="0070321D" w:rsidRDefault="0070321D" w:rsidP="00D37636">
      <w:pPr>
        <w:shd w:val="clear" w:color="auto" w:fill="FFFFFF"/>
        <w:spacing w:after="0" w:line="270" w:lineRule="atLeast"/>
        <w:jc w:val="both"/>
        <w:rPr>
          <w:rFonts w:ascii="Arial" w:eastAsia="Times New Roman" w:hAnsi="Arial" w:cs="Arial"/>
          <w:color w:val="333333"/>
          <w:sz w:val="20"/>
          <w:szCs w:val="20"/>
        </w:rPr>
      </w:pPr>
      <w:r w:rsidRPr="0070321D">
        <w:rPr>
          <w:rFonts w:ascii="Arial" w:eastAsia="Times New Roman" w:hAnsi="Arial" w:cs="Arial"/>
          <w:color w:val="333333"/>
          <w:sz w:val="20"/>
          <w:szCs w:val="20"/>
        </w:rPr>
        <w:t xml:space="preserve">The evaluation criteria for candidates include academic performance, quality of the student’s </w:t>
      </w:r>
      <w:r>
        <w:rPr>
          <w:rFonts w:ascii="Arial" w:eastAsia="Times New Roman" w:hAnsi="Arial" w:cs="Arial"/>
          <w:color w:val="333333"/>
          <w:sz w:val="20"/>
          <w:szCs w:val="20"/>
        </w:rPr>
        <w:t>thesis/</w:t>
      </w:r>
      <w:r w:rsidRPr="0070321D">
        <w:rPr>
          <w:rFonts w:ascii="Arial" w:eastAsia="Times New Roman" w:hAnsi="Arial" w:cs="Arial"/>
          <w:color w:val="333333"/>
          <w:sz w:val="20"/>
          <w:szCs w:val="20"/>
        </w:rPr>
        <w:t>research plan</w:t>
      </w:r>
      <w:r w:rsidR="00886007">
        <w:rPr>
          <w:rFonts w:ascii="Arial" w:eastAsia="Times New Roman" w:hAnsi="Arial" w:cs="Arial"/>
          <w:color w:val="333333"/>
          <w:sz w:val="20"/>
          <w:szCs w:val="20"/>
        </w:rPr>
        <w:t xml:space="preserve"> and its relevance to ASHRAE</w:t>
      </w:r>
      <w:r w:rsidRPr="0070321D">
        <w:rPr>
          <w:rFonts w:ascii="Arial" w:eastAsia="Times New Roman" w:hAnsi="Arial" w:cs="Arial"/>
          <w:color w:val="333333"/>
          <w:sz w:val="20"/>
          <w:szCs w:val="20"/>
        </w:rPr>
        <w:t xml:space="preserve">, the advisors’ recommendation, and an overall assessment of the likelihood for future involvement of the student within ASHRAE. </w:t>
      </w:r>
      <w:proofErr w:type="gramStart"/>
      <w:r w:rsidRPr="0070321D">
        <w:rPr>
          <w:rFonts w:ascii="Arial" w:eastAsia="Times New Roman" w:hAnsi="Arial" w:cs="Arial"/>
          <w:color w:val="333333"/>
          <w:sz w:val="20"/>
          <w:szCs w:val="20"/>
        </w:rPr>
        <w:t>In order to</w:t>
      </w:r>
      <w:proofErr w:type="gramEnd"/>
      <w:r w:rsidRPr="0070321D">
        <w:rPr>
          <w:rFonts w:ascii="Arial" w:eastAsia="Times New Roman" w:hAnsi="Arial" w:cs="Arial"/>
          <w:color w:val="333333"/>
          <w:sz w:val="20"/>
          <w:szCs w:val="20"/>
        </w:rPr>
        <w:t xml:space="preserve"> be eligible for an award, the applicant must be a full-time graduate student</w:t>
      </w:r>
      <w:r w:rsidR="00561DEA">
        <w:rPr>
          <w:rFonts w:ascii="Arial" w:eastAsia="Times New Roman" w:hAnsi="Arial" w:cs="Arial"/>
          <w:color w:val="333333"/>
          <w:sz w:val="20"/>
          <w:szCs w:val="20"/>
        </w:rPr>
        <w:t xml:space="preserve"> throughout the academic year following the award</w:t>
      </w:r>
      <w:r>
        <w:rPr>
          <w:rFonts w:ascii="Arial" w:eastAsia="Times New Roman" w:hAnsi="Arial" w:cs="Arial"/>
          <w:color w:val="333333"/>
          <w:sz w:val="20"/>
          <w:szCs w:val="20"/>
        </w:rPr>
        <w:t>.</w:t>
      </w:r>
      <w:r w:rsidRPr="0070321D">
        <w:rPr>
          <w:rFonts w:ascii="Arial" w:eastAsia="Times New Roman" w:hAnsi="Arial" w:cs="Arial"/>
          <w:color w:val="333333"/>
          <w:sz w:val="20"/>
          <w:szCs w:val="20"/>
        </w:rPr>
        <w:t xml:space="preserve"> </w:t>
      </w:r>
      <w:r>
        <w:rPr>
          <w:rFonts w:ascii="Arial" w:eastAsia="Times New Roman" w:hAnsi="Arial" w:cs="Arial"/>
          <w:color w:val="333333"/>
          <w:sz w:val="20"/>
          <w:szCs w:val="20"/>
        </w:rPr>
        <w:t xml:space="preserve"> The student should be preparing a thesis on ASHRAE related areas/technology or be </w:t>
      </w:r>
      <w:r w:rsidRPr="0070321D">
        <w:rPr>
          <w:rFonts w:ascii="Arial" w:eastAsia="Times New Roman" w:hAnsi="Arial" w:cs="Arial"/>
          <w:color w:val="333333"/>
          <w:sz w:val="20"/>
          <w:szCs w:val="20"/>
        </w:rPr>
        <w:t xml:space="preserve">working on or proposing to work on a research project that has relevance to ASHRAE. The student must also have a faculty advisor who </w:t>
      </w:r>
      <w:r>
        <w:rPr>
          <w:rFonts w:ascii="Arial" w:eastAsia="Times New Roman" w:hAnsi="Arial" w:cs="Arial"/>
          <w:color w:val="333333"/>
          <w:sz w:val="20"/>
          <w:szCs w:val="20"/>
        </w:rPr>
        <w:t xml:space="preserve">is </w:t>
      </w:r>
      <w:r w:rsidRPr="0070321D">
        <w:rPr>
          <w:rFonts w:ascii="Arial" w:eastAsia="Times New Roman" w:hAnsi="Arial" w:cs="Arial"/>
          <w:color w:val="333333"/>
          <w:sz w:val="20"/>
          <w:szCs w:val="20"/>
        </w:rPr>
        <w:t>supervis</w:t>
      </w:r>
      <w:r>
        <w:rPr>
          <w:rFonts w:ascii="Arial" w:eastAsia="Times New Roman" w:hAnsi="Arial" w:cs="Arial"/>
          <w:color w:val="333333"/>
          <w:sz w:val="20"/>
          <w:szCs w:val="20"/>
        </w:rPr>
        <w:t xml:space="preserve">ing </w:t>
      </w:r>
      <w:r w:rsidRPr="0070321D">
        <w:rPr>
          <w:rFonts w:ascii="Arial" w:eastAsia="Times New Roman" w:hAnsi="Arial" w:cs="Arial"/>
          <w:color w:val="333333"/>
          <w:sz w:val="20"/>
          <w:szCs w:val="20"/>
        </w:rPr>
        <w:t xml:space="preserve">the </w:t>
      </w:r>
      <w:r>
        <w:rPr>
          <w:rFonts w:ascii="Arial" w:eastAsia="Times New Roman" w:hAnsi="Arial" w:cs="Arial"/>
          <w:color w:val="333333"/>
          <w:sz w:val="20"/>
          <w:szCs w:val="20"/>
        </w:rPr>
        <w:t>student</w:t>
      </w:r>
      <w:r w:rsidRPr="0070321D">
        <w:rPr>
          <w:rFonts w:ascii="Arial" w:eastAsia="Times New Roman" w:hAnsi="Arial" w:cs="Arial"/>
          <w:color w:val="333333"/>
          <w:sz w:val="20"/>
          <w:szCs w:val="20"/>
        </w:rPr>
        <w:t>. Applicants from all ASHRAE regions worldwide are eligible. While membership in ASHRAE is not a requirement for the award, all applicants are strongly encouraged to become student members and to participate in the activities of the Society.</w:t>
      </w:r>
    </w:p>
    <w:p w14:paraId="0E5DFA23" w14:textId="77777777" w:rsidR="00D37636" w:rsidRDefault="00D37636" w:rsidP="0070321D">
      <w:pPr>
        <w:shd w:val="clear" w:color="auto" w:fill="FFFFFF"/>
        <w:spacing w:after="0" w:line="270" w:lineRule="atLeast"/>
        <w:outlineLvl w:val="2"/>
        <w:rPr>
          <w:rFonts w:ascii="Arial" w:eastAsia="Times New Roman" w:hAnsi="Arial" w:cs="Arial"/>
          <w:b/>
          <w:bCs/>
          <w:color w:val="006EC7"/>
          <w:sz w:val="27"/>
          <w:szCs w:val="27"/>
          <w:bdr w:val="none" w:sz="0" w:space="0" w:color="auto" w:frame="1"/>
        </w:rPr>
      </w:pPr>
      <w:bookmarkStart w:id="0" w:name="Application_Requirements"/>
      <w:bookmarkEnd w:id="0"/>
    </w:p>
    <w:p w14:paraId="4651B787" w14:textId="77777777" w:rsidR="0070321D" w:rsidRPr="0070321D" w:rsidRDefault="0070321D" w:rsidP="0070321D">
      <w:pPr>
        <w:shd w:val="clear" w:color="auto" w:fill="FFFFFF"/>
        <w:spacing w:after="0" w:line="270" w:lineRule="atLeast"/>
        <w:outlineLvl w:val="2"/>
        <w:rPr>
          <w:rFonts w:ascii="Trebuchet MS" w:eastAsia="Times New Roman" w:hAnsi="Trebuchet MS" w:cs="Times New Roman"/>
          <w:color w:val="006EC7"/>
          <w:sz w:val="27"/>
          <w:szCs w:val="27"/>
        </w:rPr>
      </w:pPr>
      <w:r w:rsidRPr="0070321D">
        <w:rPr>
          <w:rFonts w:ascii="Arial" w:eastAsia="Times New Roman" w:hAnsi="Arial" w:cs="Arial"/>
          <w:b/>
          <w:bCs/>
          <w:color w:val="006EC7"/>
          <w:sz w:val="27"/>
          <w:szCs w:val="27"/>
          <w:bdr w:val="none" w:sz="0" w:space="0" w:color="auto" w:frame="1"/>
        </w:rPr>
        <w:t>Application Requirements</w:t>
      </w:r>
    </w:p>
    <w:p w14:paraId="47FA9354" w14:textId="77777777" w:rsidR="0070321D" w:rsidRPr="0070321D" w:rsidRDefault="0070321D" w:rsidP="0070321D">
      <w:pPr>
        <w:shd w:val="clear" w:color="auto" w:fill="FFFFFF"/>
        <w:spacing w:after="0" w:line="270" w:lineRule="atLeast"/>
        <w:rPr>
          <w:rFonts w:ascii="Arial" w:eastAsia="Times New Roman" w:hAnsi="Arial" w:cs="Arial"/>
          <w:color w:val="333333"/>
          <w:sz w:val="20"/>
          <w:szCs w:val="20"/>
        </w:rPr>
      </w:pPr>
      <w:r w:rsidRPr="0070321D">
        <w:rPr>
          <w:rFonts w:ascii="Arial" w:eastAsia="Times New Roman" w:hAnsi="Arial" w:cs="Arial"/>
          <w:noProof/>
          <w:color w:val="333333"/>
          <w:sz w:val="20"/>
          <w:szCs w:val="20"/>
        </w:rPr>
        <w:drawing>
          <wp:inline distT="0" distB="0" distL="0" distR="0" wp14:anchorId="6C1F81D1" wp14:editId="0FC43161">
            <wp:extent cx="77470" cy="172720"/>
            <wp:effectExtent l="0" t="0" r="0" b="0"/>
            <wp:docPr id="2" name="Picture 2" descr="https://www.ashrae.org/images/arrow_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shrae.org/images/arrow_titl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70" cy="172720"/>
                    </a:xfrm>
                    <a:prstGeom prst="rect">
                      <a:avLst/>
                    </a:prstGeom>
                    <a:noFill/>
                    <a:ln>
                      <a:noFill/>
                    </a:ln>
                  </pic:spPr>
                </pic:pic>
              </a:graphicData>
            </a:graphic>
          </wp:inline>
        </w:drawing>
      </w:r>
    </w:p>
    <w:p w14:paraId="72F2DCD2" w14:textId="5289C4D2" w:rsidR="0070321D" w:rsidRPr="0070321D" w:rsidRDefault="0070321D" w:rsidP="00D37636">
      <w:pPr>
        <w:shd w:val="clear" w:color="auto" w:fill="FFFFFF"/>
        <w:spacing w:after="0" w:line="270" w:lineRule="atLeast"/>
        <w:jc w:val="both"/>
        <w:rPr>
          <w:rFonts w:ascii="Arial" w:eastAsia="Times New Roman" w:hAnsi="Arial" w:cs="Arial"/>
          <w:color w:val="333333"/>
          <w:sz w:val="20"/>
          <w:szCs w:val="20"/>
        </w:rPr>
      </w:pPr>
      <w:r w:rsidRPr="0070321D">
        <w:rPr>
          <w:rFonts w:ascii="Arial" w:eastAsia="Times New Roman" w:hAnsi="Arial" w:cs="Arial"/>
          <w:color w:val="333333"/>
          <w:sz w:val="20"/>
          <w:szCs w:val="20"/>
        </w:rPr>
        <w:t>Applications shall be made to the Manager of Research &amp; Technical Services on the student's behalf by the faculty advisor and will be reviewed and selected by the Research Administration Committee at the</w:t>
      </w:r>
      <w:r w:rsidR="00B21BCD">
        <w:rPr>
          <w:rFonts w:ascii="Arial" w:eastAsia="Times New Roman" w:hAnsi="Arial" w:cs="Arial"/>
          <w:color w:val="333333"/>
          <w:sz w:val="20"/>
          <w:szCs w:val="20"/>
        </w:rPr>
        <w:t>ir</w:t>
      </w:r>
      <w:r w:rsidRPr="0070321D">
        <w:rPr>
          <w:rFonts w:ascii="Arial" w:eastAsia="Times New Roman" w:hAnsi="Arial" w:cs="Arial"/>
          <w:color w:val="333333"/>
          <w:sz w:val="20"/>
          <w:szCs w:val="20"/>
        </w:rPr>
        <w:t xml:space="preserve"> </w:t>
      </w:r>
      <w:r w:rsidR="00B21BCD">
        <w:rPr>
          <w:rFonts w:ascii="Arial" w:eastAsia="Times New Roman" w:hAnsi="Arial" w:cs="Arial"/>
          <w:color w:val="333333"/>
          <w:sz w:val="20"/>
          <w:szCs w:val="20"/>
        </w:rPr>
        <w:t>spring</w:t>
      </w:r>
      <w:r w:rsidRPr="0070321D">
        <w:rPr>
          <w:rFonts w:ascii="Arial" w:eastAsia="Times New Roman" w:hAnsi="Arial" w:cs="Arial"/>
          <w:color w:val="333333"/>
          <w:sz w:val="20"/>
          <w:szCs w:val="20"/>
        </w:rPr>
        <w:t xml:space="preserve"> meeting</w:t>
      </w:r>
      <w:r w:rsidR="00B21BCD">
        <w:rPr>
          <w:rFonts w:ascii="Arial" w:eastAsia="Times New Roman" w:hAnsi="Arial" w:cs="Arial"/>
          <w:color w:val="333333"/>
          <w:sz w:val="20"/>
          <w:szCs w:val="20"/>
        </w:rPr>
        <w:t xml:space="preserve"> each year</w:t>
      </w:r>
      <w:r w:rsidRPr="0070321D">
        <w:rPr>
          <w:rFonts w:ascii="Arial" w:eastAsia="Times New Roman" w:hAnsi="Arial" w:cs="Arial"/>
          <w:color w:val="333333"/>
          <w:sz w:val="20"/>
          <w:szCs w:val="20"/>
        </w:rPr>
        <w:t xml:space="preserve">. Applications must be received at ASHRAE Headquarters </w:t>
      </w:r>
      <w:r w:rsidRPr="00A46DDA">
        <w:rPr>
          <w:rFonts w:ascii="Arial" w:eastAsia="Times New Roman" w:hAnsi="Arial" w:cs="Arial"/>
          <w:b/>
          <w:color w:val="333333"/>
          <w:sz w:val="20"/>
          <w:szCs w:val="20"/>
        </w:rPr>
        <w:t xml:space="preserve">by </w:t>
      </w:r>
      <w:r w:rsidR="00B21BCD" w:rsidRPr="00A46DDA">
        <w:rPr>
          <w:rFonts w:ascii="Arial" w:eastAsia="Times New Roman" w:hAnsi="Arial" w:cs="Arial"/>
          <w:b/>
          <w:color w:val="333333"/>
          <w:sz w:val="20"/>
          <w:szCs w:val="20"/>
        </w:rPr>
        <w:t>March</w:t>
      </w:r>
      <w:r w:rsidRPr="00A46DDA">
        <w:rPr>
          <w:rFonts w:ascii="Arial" w:eastAsia="Times New Roman" w:hAnsi="Arial" w:cs="Arial"/>
          <w:b/>
          <w:color w:val="333333"/>
          <w:sz w:val="20"/>
          <w:szCs w:val="20"/>
        </w:rPr>
        <w:t xml:space="preserve"> </w:t>
      </w:r>
      <w:r w:rsidR="003D55DE">
        <w:rPr>
          <w:rFonts w:ascii="Arial" w:eastAsia="Times New Roman" w:hAnsi="Arial" w:cs="Arial"/>
          <w:b/>
          <w:color w:val="333333"/>
          <w:sz w:val="20"/>
          <w:szCs w:val="20"/>
        </w:rPr>
        <w:t>2nd</w:t>
      </w:r>
      <w:r w:rsidRPr="0070321D">
        <w:rPr>
          <w:rFonts w:ascii="Arial" w:eastAsia="Times New Roman" w:hAnsi="Arial" w:cs="Arial"/>
          <w:color w:val="333333"/>
          <w:sz w:val="20"/>
          <w:szCs w:val="20"/>
        </w:rPr>
        <w:t xml:space="preserve"> to be considered.</w:t>
      </w:r>
    </w:p>
    <w:p w14:paraId="6A0E664A" w14:textId="77777777" w:rsidR="00D37636" w:rsidRDefault="00D37636" w:rsidP="00D37636">
      <w:pPr>
        <w:shd w:val="clear" w:color="auto" w:fill="FFFFFF"/>
        <w:spacing w:after="0" w:line="270" w:lineRule="atLeast"/>
        <w:jc w:val="both"/>
        <w:rPr>
          <w:rFonts w:ascii="Arial" w:eastAsia="Times New Roman" w:hAnsi="Arial" w:cs="Arial"/>
          <w:color w:val="333333"/>
          <w:sz w:val="20"/>
          <w:szCs w:val="20"/>
        </w:rPr>
      </w:pPr>
    </w:p>
    <w:p w14:paraId="4577046B" w14:textId="5FF29F4F" w:rsidR="0070321D" w:rsidRDefault="0070321D" w:rsidP="0070321D">
      <w:pPr>
        <w:shd w:val="clear" w:color="auto" w:fill="FFFFFF"/>
        <w:spacing w:after="0" w:line="270" w:lineRule="atLeast"/>
        <w:rPr>
          <w:rFonts w:ascii="Arial" w:eastAsia="Times New Roman" w:hAnsi="Arial" w:cs="Arial"/>
          <w:color w:val="333333"/>
          <w:sz w:val="20"/>
          <w:szCs w:val="20"/>
        </w:rPr>
      </w:pPr>
      <w:r w:rsidRPr="0070321D">
        <w:rPr>
          <w:rFonts w:ascii="Arial" w:eastAsia="Times New Roman" w:hAnsi="Arial" w:cs="Arial"/>
          <w:color w:val="333333"/>
          <w:sz w:val="20"/>
          <w:szCs w:val="20"/>
        </w:rPr>
        <w:t xml:space="preserve">Applicants will be notified of the results of the competitive evaluation </w:t>
      </w:r>
      <w:r w:rsidR="003D55DE">
        <w:rPr>
          <w:rFonts w:ascii="Arial" w:eastAsia="Times New Roman" w:hAnsi="Arial" w:cs="Arial"/>
          <w:color w:val="333333"/>
          <w:sz w:val="20"/>
          <w:szCs w:val="20"/>
        </w:rPr>
        <w:t>mid-May</w:t>
      </w:r>
      <w:r w:rsidRPr="0070321D">
        <w:rPr>
          <w:rFonts w:ascii="Arial" w:eastAsia="Times New Roman" w:hAnsi="Arial" w:cs="Arial"/>
          <w:color w:val="333333"/>
          <w:sz w:val="20"/>
          <w:szCs w:val="20"/>
        </w:rPr>
        <w:t xml:space="preserve">. Funds will be available to the grant recipients </w:t>
      </w:r>
      <w:r w:rsidR="003D55DE">
        <w:rPr>
          <w:rFonts w:ascii="Arial" w:eastAsia="Times New Roman" w:hAnsi="Arial" w:cs="Arial"/>
          <w:color w:val="333333"/>
          <w:sz w:val="20"/>
          <w:szCs w:val="20"/>
        </w:rPr>
        <w:t>mid-July.</w:t>
      </w:r>
    </w:p>
    <w:p w14:paraId="01F1470E" w14:textId="77777777" w:rsidR="00D37636" w:rsidRDefault="00D37636" w:rsidP="0070321D">
      <w:pPr>
        <w:shd w:val="clear" w:color="auto" w:fill="FFFFFF"/>
        <w:spacing w:after="0" w:line="270" w:lineRule="atLeast"/>
        <w:rPr>
          <w:rFonts w:ascii="Arial" w:eastAsia="Times New Roman" w:hAnsi="Arial" w:cs="Arial"/>
          <w:color w:val="333333"/>
          <w:sz w:val="20"/>
          <w:szCs w:val="20"/>
        </w:rPr>
      </w:pPr>
    </w:p>
    <w:p w14:paraId="203F90D2" w14:textId="77777777" w:rsidR="0047361C" w:rsidRDefault="0047361C" w:rsidP="0070321D">
      <w:pPr>
        <w:shd w:val="clear" w:color="auto" w:fill="FFFFFF"/>
        <w:spacing w:after="0" w:line="270" w:lineRule="atLeast"/>
        <w:rPr>
          <w:rFonts w:ascii="Arial" w:eastAsia="Times New Roman" w:hAnsi="Arial" w:cs="Arial"/>
          <w:color w:val="333333"/>
          <w:sz w:val="20"/>
          <w:szCs w:val="20"/>
        </w:rPr>
      </w:pPr>
    </w:p>
    <w:p w14:paraId="41A38CA0" w14:textId="77777777" w:rsidR="0047361C" w:rsidRPr="0070321D" w:rsidRDefault="0047361C" w:rsidP="0070321D">
      <w:pPr>
        <w:shd w:val="clear" w:color="auto" w:fill="FFFFFF"/>
        <w:spacing w:after="0" w:line="270" w:lineRule="atLeast"/>
        <w:rPr>
          <w:rFonts w:ascii="Arial" w:eastAsia="Times New Roman" w:hAnsi="Arial" w:cs="Arial"/>
          <w:color w:val="333333"/>
          <w:sz w:val="20"/>
          <w:szCs w:val="20"/>
        </w:rPr>
      </w:pPr>
    </w:p>
    <w:p w14:paraId="3A56B9C8" w14:textId="77777777" w:rsidR="0070321D" w:rsidRPr="0070321D" w:rsidRDefault="0070321D" w:rsidP="0070321D">
      <w:pPr>
        <w:shd w:val="clear" w:color="auto" w:fill="FFFFFF"/>
        <w:spacing w:after="0" w:line="270" w:lineRule="atLeast"/>
        <w:rPr>
          <w:rFonts w:ascii="Arial" w:eastAsia="Times New Roman" w:hAnsi="Arial" w:cs="Arial"/>
          <w:color w:val="333333"/>
          <w:sz w:val="20"/>
          <w:szCs w:val="20"/>
        </w:rPr>
      </w:pPr>
      <w:r w:rsidRPr="0070321D">
        <w:rPr>
          <w:rFonts w:ascii="Arial" w:eastAsia="Times New Roman" w:hAnsi="Arial" w:cs="Arial"/>
          <w:b/>
          <w:bCs/>
          <w:color w:val="333333"/>
          <w:sz w:val="20"/>
          <w:szCs w:val="20"/>
          <w:bdr w:val="none" w:sz="0" w:space="0" w:color="auto" w:frame="1"/>
        </w:rPr>
        <w:lastRenderedPageBreak/>
        <w:t>The student shall complete pages 1-3 of the application and submit it to his/her advisor</w:t>
      </w:r>
      <w:r w:rsidRPr="0070321D">
        <w:rPr>
          <w:rFonts w:ascii="Arial" w:eastAsia="Times New Roman" w:hAnsi="Arial" w:cs="Arial"/>
          <w:color w:val="333333"/>
          <w:sz w:val="20"/>
          <w:szCs w:val="20"/>
        </w:rPr>
        <w:t>.</w:t>
      </w:r>
    </w:p>
    <w:p w14:paraId="2C21F776" w14:textId="77777777" w:rsidR="0070321D" w:rsidRPr="0070321D" w:rsidRDefault="0070321D" w:rsidP="0070321D">
      <w:pPr>
        <w:numPr>
          <w:ilvl w:val="0"/>
          <w:numId w:val="1"/>
        </w:numPr>
        <w:shd w:val="clear" w:color="auto" w:fill="FFFFFF"/>
        <w:spacing w:before="100" w:beforeAutospacing="1" w:after="100" w:afterAutospacing="1" w:line="270" w:lineRule="atLeast"/>
        <w:rPr>
          <w:rFonts w:ascii="Arial" w:eastAsia="Times New Roman" w:hAnsi="Arial" w:cs="Arial"/>
          <w:color w:val="333333"/>
          <w:sz w:val="20"/>
          <w:szCs w:val="20"/>
        </w:rPr>
      </w:pPr>
      <w:r w:rsidRPr="0070321D">
        <w:rPr>
          <w:rFonts w:ascii="Arial" w:eastAsia="Times New Roman" w:hAnsi="Arial" w:cs="Arial"/>
          <w:color w:val="333333"/>
          <w:sz w:val="20"/>
          <w:szCs w:val="20"/>
        </w:rPr>
        <w:t>Student History: Name, address, post-secondary education including current degree program, grade point average</w:t>
      </w:r>
      <w:r w:rsidR="00561DEA">
        <w:rPr>
          <w:rFonts w:ascii="Arial" w:eastAsia="Times New Roman" w:hAnsi="Arial" w:cs="Arial"/>
          <w:color w:val="333333"/>
          <w:sz w:val="20"/>
          <w:szCs w:val="20"/>
        </w:rPr>
        <w:t xml:space="preserve"> (transcript to be attached)</w:t>
      </w:r>
      <w:r w:rsidRPr="0070321D">
        <w:rPr>
          <w:rFonts w:ascii="Arial" w:eastAsia="Times New Roman" w:hAnsi="Arial" w:cs="Arial"/>
          <w:color w:val="333333"/>
          <w:sz w:val="20"/>
          <w:szCs w:val="20"/>
        </w:rPr>
        <w:t xml:space="preserve">, rank in class, membership in professional societies, </w:t>
      </w:r>
      <w:r w:rsidR="00561DEA">
        <w:rPr>
          <w:rFonts w:ascii="Arial" w:eastAsia="Times New Roman" w:hAnsi="Arial" w:cs="Arial"/>
          <w:color w:val="333333"/>
          <w:sz w:val="20"/>
          <w:szCs w:val="20"/>
        </w:rPr>
        <w:t xml:space="preserve">and </w:t>
      </w:r>
      <w:r w:rsidRPr="0070321D">
        <w:rPr>
          <w:rFonts w:ascii="Arial" w:eastAsia="Times New Roman" w:hAnsi="Arial" w:cs="Arial"/>
          <w:color w:val="333333"/>
          <w:sz w:val="20"/>
          <w:szCs w:val="20"/>
        </w:rPr>
        <w:t>previous work experience.</w:t>
      </w:r>
    </w:p>
    <w:p w14:paraId="2E1F407C" w14:textId="77777777" w:rsidR="0070321D" w:rsidRPr="0070321D" w:rsidRDefault="0070321D" w:rsidP="0070321D">
      <w:pPr>
        <w:numPr>
          <w:ilvl w:val="0"/>
          <w:numId w:val="2"/>
        </w:numPr>
        <w:shd w:val="clear" w:color="auto" w:fill="FFFFFF"/>
        <w:spacing w:before="100" w:beforeAutospacing="1" w:after="100" w:afterAutospacing="1" w:line="270" w:lineRule="atLeast"/>
        <w:rPr>
          <w:rFonts w:ascii="Arial" w:eastAsia="Times New Roman" w:hAnsi="Arial" w:cs="Arial"/>
          <w:color w:val="333333"/>
          <w:sz w:val="20"/>
          <w:szCs w:val="20"/>
        </w:rPr>
      </w:pPr>
      <w:r w:rsidRPr="0070321D">
        <w:rPr>
          <w:rFonts w:ascii="Arial" w:eastAsia="Times New Roman" w:hAnsi="Arial" w:cs="Arial"/>
          <w:color w:val="333333"/>
          <w:sz w:val="20"/>
          <w:szCs w:val="20"/>
        </w:rPr>
        <w:t xml:space="preserve">Description of </w:t>
      </w:r>
      <w:r w:rsidR="00DB08B9">
        <w:rPr>
          <w:rFonts w:ascii="Arial" w:eastAsia="Times New Roman" w:hAnsi="Arial" w:cs="Arial"/>
          <w:color w:val="333333"/>
          <w:sz w:val="20"/>
          <w:szCs w:val="20"/>
        </w:rPr>
        <w:t>Thesis/</w:t>
      </w:r>
      <w:r w:rsidRPr="0070321D">
        <w:rPr>
          <w:rFonts w:ascii="Arial" w:eastAsia="Times New Roman" w:hAnsi="Arial" w:cs="Arial"/>
          <w:color w:val="333333"/>
          <w:sz w:val="20"/>
          <w:szCs w:val="20"/>
        </w:rPr>
        <w:t xml:space="preserve">Research Project: Significance of </w:t>
      </w:r>
      <w:r w:rsidR="00DB08B9">
        <w:rPr>
          <w:rFonts w:ascii="Arial" w:eastAsia="Times New Roman" w:hAnsi="Arial" w:cs="Arial"/>
          <w:color w:val="333333"/>
          <w:sz w:val="20"/>
          <w:szCs w:val="20"/>
        </w:rPr>
        <w:t>thesis/</w:t>
      </w:r>
      <w:r w:rsidRPr="0070321D">
        <w:rPr>
          <w:rFonts w:ascii="Arial" w:eastAsia="Times New Roman" w:hAnsi="Arial" w:cs="Arial"/>
          <w:color w:val="333333"/>
          <w:sz w:val="20"/>
          <w:szCs w:val="20"/>
        </w:rPr>
        <w:t xml:space="preserve">research, outline of plan of procedure, plans for publication of </w:t>
      </w:r>
      <w:r w:rsidR="00DB08B9">
        <w:rPr>
          <w:rFonts w:ascii="Arial" w:eastAsia="Times New Roman" w:hAnsi="Arial" w:cs="Arial"/>
          <w:color w:val="333333"/>
          <w:sz w:val="20"/>
          <w:szCs w:val="20"/>
        </w:rPr>
        <w:t>thesis/</w:t>
      </w:r>
      <w:r w:rsidRPr="0070321D">
        <w:rPr>
          <w:rFonts w:ascii="Arial" w:eastAsia="Times New Roman" w:hAnsi="Arial" w:cs="Arial"/>
          <w:color w:val="333333"/>
          <w:sz w:val="20"/>
          <w:szCs w:val="20"/>
        </w:rPr>
        <w:t>research results.</w:t>
      </w:r>
    </w:p>
    <w:p w14:paraId="7FF9ADFC" w14:textId="77777777" w:rsidR="0070321D" w:rsidRPr="00B21BCD" w:rsidRDefault="0070321D" w:rsidP="0070321D">
      <w:pPr>
        <w:shd w:val="clear" w:color="auto" w:fill="FFFFFF"/>
        <w:spacing w:line="270" w:lineRule="atLeast"/>
        <w:rPr>
          <w:rFonts w:ascii="Arial" w:eastAsia="Times New Roman" w:hAnsi="Arial" w:cs="Arial"/>
          <w:color w:val="333333"/>
          <w:sz w:val="20"/>
          <w:szCs w:val="20"/>
        </w:rPr>
      </w:pPr>
      <w:r w:rsidRPr="00B21BCD">
        <w:rPr>
          <w:rFonts w:ascii="Arial" w:eastAsia="Times New Roman" w:hAnsi="Arial" w:cs="Arial"/>
          <w:b/>
          <w:bCs/>
          <w:color w:val="333333"/>
          <w:sz w:val="20"/>
          <w:szCs w:val="20"/>
          <w:bdr w:val="none" w:sz="0" w:space="0" w:color="auto" w:frame="1"/>
        </w:rPr>
        <w:t>The advisor will then supply the following data on page 4 prior to submission to ASHRAE</w:t>
      </w:r>
      <w:r w:rsidRPr="00B21BCD">
        <w:rPr>
          <w:rFonts w:ascii="Arial" w:eastAsia="Times New Roman" w:hAnsi="Arial" w:cs="Arial"/>
          <w:color w:val="333333"/>
          <w:sz w:val="20"/>
          <w:szCs w:val="20"/>
        </w:rPr>
        <w:t>:</w:t>
      </w:r>
    </w:p>
    <w:p w14:paraId="28948DB1" w14:textId="77777777" w:rsidR="00FF66BD" w:rsidRPr="00D37636" w:rsidRDefault="00FF66BD" w:rsidP="00FF66BD">
      <w:pPr>
        <w:numPr>
          <w:ilvl w:val="0"/>
          <w:numId w:val="7"/>
        </w:numPr>
        <w:tabs>
          <w:tab w:val="left" w:pos="-720"/>
          <w:tab w:val="left" w:pos="0"/>
        </w:tabs>
        <w:suppressAutoHyphens/>
        <w:spacing w:after="0" w:line="228" w:lineRule="auto"/>
        <w:jc w:val="both"/>
        <w:rPr>
          <w:rFonts w:ascii="Arial" w:hAnsi="Arial" w:cs="Arial"/>
          <w:sz w:val="20"/>
          <w:szCs w:val="20"/>
        </w:rPr>
      </w:pPr>
      <w:r w:rsidRPr="00D37636">
        <w:rPr>
          <w:rFonts w:ascii="Arial" w:hAnsi="Arial" w:cs="Arial"/>
          <w:sz w:val="20"/>
          <w:szCs w:val="20"/>
        </w:rPr>
        <w:t>Information on Institution and Faculty Advisor: Is the Faculty Advisor an ASHRAE member, and if so, for how long and at what grade? Indicate nature of activity in Society affairs. Faculty Advisor's assessment of applicant.</w:t>
      </w:r>
    </w:p>
    <w:p w14:paraId="660C7D90" w14:textId="77777777" w:rsidR="00FF66BD" w:rsidRPr="00D37636" w:rsidRDefault="00FF66BD" w:rsidP="00FF66BD">
      <w:pPr>
        <w:tabs>
          <w:tab w:val="left" w:pos="-720"/>
        </w:tabs>
        <w:suppressAutoHyphens/>
        <w:spacing w:line="228" w:lineRule="auto"/>
        <w:jc w:val="both"/>
        <w:rPr>
          <w:rFonts w:ascii="Arial" w:hAnsi="Arial" w:cs="Arial"/>
          <w:sz w:val="20"/>
          <w:szCs w:val="20"/>
        </w:rPr>
      </w:pPr>
    </w:p>
    <w:p w14:paraId="0839FB58" w14:textId="77777777" w:rsidR="00FF66BD" w:rsidRPr="00D37636" w:rsidRDefault="00FF66BD" w:rsidP="00FF66BD">
      <w:pPr>
        <w:tabs>
          <w:tab w:val="left" w:pos="-720"/>
        </w:tabs>
        <w:suppressAutoHyphens/>
        <w:spacing w:line="228" w:lineRule="auto"/>
        <w:jc w:val="both"/>
        <w:rPr>
          <w:rFonts w:ascii="Arial" w:hAnsi="Arial" w:cs="Arial"/>
          <w:sz w:val="20"/>
          <w:szCs w:val="20"/>
        </w:rPr>
      </w:pPr>
      <w:r w:rsidRPr="00D37636">
        <w:rPr>
          <w:rFonts w:ascii="Arial" w:hAnsi="Arial" w:cs="Arial"/>
          <w:sz w:val="20"/>
          <w:szCs w:val="20"/>
        </w:rPr>
        <w:t>Application forms and additional information can be obtained from the ASHRAE website (</w:t>
      </w:r>
      <w:hyperlink r:id="rId9" w:history="1">
        <w:r w:rsidRPr="00D37636">
          <w:rPr>
            <w:rFonts w:ascii="Arial" w:hAnsi="Arial" w:cs="Arial"/>
            <w:sz w:val="20"/>
            <w:szCs w:val="20"/>
          </w:rPr>
          <w:t>www.ashrae.org</w:t>
        </w:r>
      </w:hyperlink>
      <w:r w:rsidRPr="00D37636">
        <w:rPr>
          <w:rFonts w:ascii="Arial" w:hAnsi="Arial" w:cs="Arial"/>
          <w:sz w:val="20"/>
          <w:szCs w:val="20"/>
        </w:rPr>
        <w:t xml:space="preserve">) or the MORTS at ASHRAE headquarters. Requests may be made via </w:t>
      </w:r>
      <w:r w:rsidR="00D37636">
        <w:rPr>
          <w:rFonts w:ascii="Arial" w:hAnsi="Arial" w:cs="Arial"/>
          <w:sz w:val="20"/>
          <w:szCs w:val="20"/>
        </w:rPr>
        <w:t xml:space="preserve">mail, or </w:t>
      </w:r>
      <w:r w:rsidRPr="00D37636">
        <w:rPr>
          <w:rFonts w:ascii="Arial" w:hAnsi="Arial" w:cs="Arial"/>
          <w:sz w:val="20"/>
          <w:szCs w:val="20"/>
        </w:rPr>
        <w:t xml:space="preserve">e-mail </w:t>
      </w:r>
      <w:hyperlink r:id="rId10" w:history="1">
        <w:r w:rsidR="003C73F4" w:rsidRPr="00FA128A">
          <w:rPr>
            <w:rStyle w:val="Hyperlink"/>
            <w:rFonts w:ascii="Arial" w:hAnsi="Arial" w:cs="Arial"/>
            <w:sz w:val="20"/>
            <w:szCs w:val="20"/>
          </w:rPr>
          <w:t>MORTS@ashrae.net</w:t>
        </w:r>
        <w:r w:rsidR="003C73F4" w:rsidRPr="00FA128A" w:rsidDel="002C0526">
          <w:rPr>
            <w:rStyle w:val="Hyperlink"/>
            <w:rFonts w:ascii="Arial" w:hAnsi="Arial" w:cs="Arial"/>
            <w:sz w:val="20"/>
            <w:szCs w:val="20"/>
          </w:rPr>
          <w:t xml:space="preserve"> </w:t>
        </w:r>
      </w:hyperlink>
      <w:r w:rsidRPr="00D37636">
        <w:rPr>
          <w:rFonts w:ascii="Arial" w:hAnsi="Arial" w:cs="Arial"/>
          <w:sz w:val="20"/>
          <w:szCs w:val="20"/>
        </w:rPr>
        <w:t xml:space="preserve"> Application forms </w:t>
      </w:r>
      <w:r w:rsidR="003C73F4">
        <w:rPr>
          <w:rFonts w:ascii="Arial" w:hAnsi="Arial" w:cs="Arial"/>
          <w:sz w:val="20"/>
          <w:szCs w:val="20"/>
        </w:rPr>
        <w:t xml:space="preserve">along with official transcripts </w:t>
      </w:r>
      <w:r w:rsidRPr="00D37636">
        <w:rPr>
          <w:rFonts w:ascii="Arial" w:hAnsi="Arial" w:cs="Arial"/>
          <w:sz w:val="20"/>
          <w:szCs w:val="20"/>
        </w:rPr>
        <w:t>should be returned to:</w:t>
      </w:r>
    </w:p>
    <w:p w14:paraId="336C2660" w14:textId="77777777" w:rsidR="008F04EB" w:rsidRDefault="00FF66BD" w:rsidP="00FF66BD">
      <w:pPr>
        <w:tabs>
          <w:tab w:val="left" w:pos="-720"/>
        </w:tabs>
        <w:suppressAutoHyphens/>
        <w:spacing w:after="0" w:line="228" w:lineRule="auto"/>
        <w:rPr>
          <w:rFonts w:ascii="Arial" w:hAnsi="Arial" w:cs="Arial"/>
          <w:sz w:val="20"/>
          <w:szCs w:val="20"/>
        </w:rPr>
      </w:pPr>
      <w:r w:rsidRPr="00D37636">
        <w:rPr>
          <w:rFonts w:ascii="Arial" w:hAnsi="Arial" w:cs="Arial"/>
          <w:sz w:val="20"/>
          <w:szCs w:val="20"/>
        </w:rPr>
        <w:tab/>
      </w:r>
      <w:r w:rsidRPr="00D37636">
        <w:rPr>
          <w:rFonts w:ascii="Arial" w:hAnsi="Arial" w:cs="Arial"/>
          <w:sz w:val="20"/>
          <w:szCs w:val="20"/>
        </w:rPr>
        <w:tab/>
      </w:r>
      <w:r w:rsidRPr="00D37636">
        <w:rPr>
          <w:rFonts w:ascii="Arial" w:hAnsi="Arial" w:cs="Arial"/>
          <w:sz w:val="20"/>
          <w:szCs w:val="20"/>
        </w:rPr>
        <w:tab/>
      </w:r>
      <w:r w:rsidRPr="00D37636">
        <w:rPr>
          <w:rFonts w:ascii="Arial" w:hAnsi="Arial" w:cs="Arial"/>
          <w:sz w:val="20"/>
          <w:szCs w:val="20"/>
        </w:rPr>
        <w:tab/>
      </w:r>
    </w:p>
    <w:p w14:paraId="57090EAF" w14:textId="77777777" w:rsidR="00FF66BD" w:rsidRPr="00D37636" w:rsidRDefault="008F04EB" w:rsidP="00FF66BD">
      <w:pPr>
        <w:tabs>
          <w:tab w:val="left" w:pos="-720"/>
        </w:tabs>
        <w:suppressAutoHyphens/>
        <w:spacing w:after="0" w:line="228"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F66BD" w:rsidRPr="00D37636">
        <w:rPr>
          <w:rFonts w:ascii="Arial" w:hAnsi="Arial" w:cs="Arial"/>
          <w:sz w:val="20"/>
          <w:szCs w:val="20"/>
        </w:rPr>
        <w:t>MORTS</w:t>
      </w:r>
    </w:p>
    <w:p w14:paraId="1185394D" w14:textId="77777777" w:rsidR="00FF66BD" w:rsidRPr="00D37636" w:rsidRDefault="00FF66BD" w:rsidP="00FF66BD">
      <w:pPr>
        <w:tabs>
          <w:tab w:val="left" w:pos="-720"/>
        </w:tabs>
        <w:suppressAutoHyphens/>
        <w:spacing w:after="0" w:line="228" w:lineRule="auto"/>
        <w:rPr>
          <w:rFonts w:ascii="Arial" w:hAnsi="Arial" w:cs="Arial"/>
          <w:sz w:val="20"/>
          <w:szCs w:val="20"/>
        </w:rPr>
      </w:pPr>
      <w:r w:rsidRPr="00D37636">
        <w:rPr>
          <w:rFonts w:ascii="Arial" w:hAnsi="Arial" w:cs="Arial"/>
          <w:sz w:val="20"/>
          <w:szCs w:val="20"/>
        </w:rPr>
        <w:tab/>
      </w:r>
      <w:r w:rsidRPr="00D37636">
        <w:rPr>
          <w:rFonts w:ascii="Arial" w:hAnsi="Arial" w:cs="Arial"/>
          <w:sz w:val="20"/>
          <w:szCs w:val="20"/>
        </w:rPr>
        <w:tab/>
      </w:r>
      <w:r w:rsidRPr="00D37636">
        <w:rPr>
          <w:rFonts w:ascii="Arial" w:hAnsi="Arial" w:cs="Arial"/>
          <w:sz w:val="20"/>
          <w:szCs w:val="20"/>
        </w:rPr>
        <w:tab/>
      </w:r>
      <w:r w:rsidRPr="00D37636">
        <w:rPr>
          <w:rFonts w:ascii="Arial" w:hAnsi="Arial" w:cs="Arial"/>
          <w:sz w:val="20"/>
          <w:szCs w:val="20"/>
        </w:rPr>
        <w:tab/>
        <w:t>ASHRAE</w:t>
      </w:r>
    </w:p>
    <w:p w14:paraId="3EF3FDC3" w14:textId="7D09461F" w:rsidR="00FF66BD" w:rsidRPr="00D37636" w:rsidRDefault="00FF66BD" w:rsidP="00FF66BD">
      <w:pPr>
        <w:tabs>
          <w:tab w:val="left" w:pos="-720"/>
        </w:tabs>
        <w:suppressAutoHyphens/>
        <w:spacing w:after="0" w:line="228" w:lineRule="auto"/>
        <w:rPr>
          <w:rFonts w:ascii="Arial" w:hAnsi="Arial" w:cs="Arial"/>
          <w:sz w:val="20"/>
          <w:szCs w:val="20"/>
        </w:rPr>
      </w:pPr>
      <w:r w:rsidRPr="00D37636">
        <w:rPr>
          <w:rFonts w:ascii="Arial" w:hAnsi="Arial" w:cs="Arial"/>
          <w:sz w:val="20"/>
          <w:szCs w:val="20"/>
        </w:rPr>
        <w:tab/>
      </w:r>
      <w:r w:rsidRPr="00D37636">
        <w:rPr>
          <w:rFonts w:ascii="Arial" w:hAnsi="Arial" w:cs="Arial"/>
          <w:sz w:val="20"/>
          <w:szCs w:val="20"/>
        </w:rPr>
        <w:tab/>
      </w:r>
      <w:r w:rsidRPr="00D37636">
        <w:rPr>
          <w:rFonts w:ascii="Arial" w:hAnsi="Arial" w:cs="Arial"/>
          <w:sz w:val="20"/>
          <w:szCs w:val="20"/>
        </w:rPr>
        <w:tab/>
      </w:r>
      <w:r w:rsidRPr="00D37636">
        <w:rPr>
          <w:rFonts w:ascii="Arial" w:hAnsi="Arial" w:cs="Arial"/>
          <w:sz w:val="20"/>
          <w:szCs w:val="20"/>
        </w:rPr>
        <w:tab/>
      </w:r>
      <w:r w:rsidR="003D55DE">
        <w:rPr>
          <w:rFonts w:ascii="Arial" w:hAnsi="Arial" w:cs="Arial"/>
          <w:sz w:val="20"/>
          <w:szCs w:val="20"/>
        </w:rPr>
        <w:t>180 Technology Parkway</w:t>
      </w:r>
    </w:p>
    <w:p w14:paraId="315B03EC" w14:textId="0ADBBF65" w:rsidR="00FF66BD" w:rsidRPr="00D37636" w:rsidRDefault="00FF66BD" w:rsidP="00FF66BD">
      <w:pPr>
        <w:tabs>
          <w:tab w:val="left" w:pos="-720"/>
        </w:tabs>
        <w:suppressAutoHyphens/>
        <w:spacing w:after="0" w:line="228" w:lineRule="auto"/>
        <w:rPr>
          <w:rFonts w:ascii="Arial" w:hAnsi="Arial" w:cs="Arial"/>
          <w:sz w:val="20"/>
          <w:szCs w:val="20"/>
        </w:rPr>
      </w:pPr>
      <w:r w:rsidRPr="00D37636">
        <w:rPr>
          <w:rFonts w:ascii="Arial" w:hAnsi="Arial" w:cs="Arial"/>
          <w:sz w:val="20"/>
          <w:szCs w:val="20"/>
        </w:rPr>
        <w:tab/>
      </w:r>
      <w:r w:rsidRPr="00D37636">
        <w:rPr>
          <w:rFonts w:ascii="Arial" w:hAnsi="Arial" w:cs="Arial"/>
          <w:sz w:val="20"/>
          <w:szCs w:val="20"/>
        </w:rPr>
        <w:tab/>
      </w:r>
      <w:r w:rsidRPr="00D37636">
        <w:rPr>
          <w:rFonts w:ascii="Arial" w:hAnsi="Arial" w:cs="Arial"/>
          <w:sz w:val="20"/>
          <w:szCs w:val="20"/>
        </w:rPr>
        <w:tab/>
      </w:r>
      <w:r w:rsidRPr="00D37636">
        <w:rPr>
          <w:rFonts w:ascii="Arial" w:hAnsi="Arial" w:cs="Arial"/>
          <w:sz w:val="20"/>
          <w:szCs w:val="20"/>
        </w:rPr>
        <w:tab/>
      </w:r>
      <w:r w:rsidR="003D55DE">
        <w:rPr>
          <w:rFonts w:ascii="Arial" w:hAnsi="Arial" w:cs="Arial"/>
          <w:sz w:val="20"/>
          <w:szCs w:val="20"/>
        </w:rPr>
        <w:t>Peachtree Corners</w:t>
      </w:r>
      <w:r w:rsidRPr="00D37636">
        <w:rPr>
          <w:rFonts w:ascii="Arial" w:hAnsi="Arial" w:cs="Arial"/>
          <w:sz w:val="20"/>
          <w:szCs w:val="20"/>
        </w:rPr>
        <w:t xml:space="preserve"> GA  </w:t>
      </w:r>
      <w:r w:rsidR="003D55DE">
        <w:rPr>
          <w:rFonts w:ascii="Arial" w:hAnsi="Arial" w:cs="Arial"/>
          <w:sz w:val="20"/>
          <w:szCs w:val="20"/>
        </w:rPr>
        <w:t>30092</w:t>
      </w:r>
    </w:p>
    <w:p w14:paraId="0BB245A9" w14:textId="77777777" w:rsidR="00FF66BD" w:rsidRPr="00D37636" w:rsidRDefault="00FF66BD" w:rsidP="00FF66BD">
      <w:pPr>
        <w:tabs>
          <w:tab w:val="left" w:pos="-720"/>
        </w:tabs>
        <w:suppressAutoHyphens/>
        <w:spacing w:after="0" w:line="228" w:lineRule="auto"/>
        <w:rPr>
          <w:rFonts w:ascii="Arial" w:hAnsi="Arial" w:cs="Arial"/>
          <w:sz w:val="20"/>
          <w:szCs w:val="20"/>
        </w:rPr>
      </w:pPr>
      <w:r w:rsidRPr="00D37636">
        <w:rPr>
          <w:rFonts w:ascii="Arial" w:hAnsi="Arial" w:cs="Arial"/>
          <w:sz w:val="20"/>
          <w:szCs w:val="20"/>
        </w:rPr>
        <w:tab/>
      </w:r>
      <w:r w:rsidRPr="00D37636">
        <w:rPr>
          <w:rFonts w:ascii="Arial" w:hAnsi="Arial" w:cs="Arial"/>
          <w:sz w:val="20"/>
          <w:szCs w:val="20"/>
        </w:rPr>
        <w:tab/>
      </w:r>
      <w:r w:rsidRPr="00D37636">
        <w:rPr>
          <w:rFonts w:ascii="Arial" w:hAnsi="Arial" w:cs="Arial"/>
          <w:sz w:val="20"/>
          <w:szCs w:val="20"/>
        </w:rPr>
        <w:tab/>
      </w:r>
      <w:r w:rsidRPr="00D37636">
        <w:rPr>
          <w:rFonts w:ascii="Arial" w:hAnsi="Arial" w:cs="Arial"/>
          <w:sz w:val="20"/>
          <w:szCs w:val="20"/>
        </w:rPr>
        <w:tab/>
        <w:t>404-636-8400</w:t>
      </w:r>
    </w:p>
    <w:p w14:paraId="51271E77" w14:textId="77777777" w:rsidR="00FF66BD" w:rsidRPr="00B21BCD" w:rsidRDefault="00FF66BD" w:rsidP="00255D8E">
      <w:pPr>
        <w:shd w:val="clear" w:color="auto" w:fill="FFFFFF"/>
        <w:spacing w:after="0" w:line="270" w:lineRule="atLeast"/>
        <w:outlineLvl w:val="2"/>
        <w:rPr>
          <w:rFonts w:ascii="Arial" w:eastAsia="Times New Roman" w:hAnsi="Arial" w:cs="Arial"/>
          <w:color w:val="333333"/>
          <w:sz w:val="20"/>
          <w:szCs w:val="20"/>
        </w:rPr>
      </w:pPr>
    </w:p>
    <w:p w14:paraId="64C88C4D" w14:textId="77777777" w:rsidR="00FF66BD" w:rsidRPr="002E4510" w:rsidRDefault="002E4510" w:rsidP="002E4510">
      <w:pPr>
        <w:rPr>
          <w:rFonts w:ascii="Arial" w:eastAsia="Times New Roman" w:hAnsi="Arial" w:cs="Arial"/>
          <w:b/>
          <w:color w:val="333333"/>
          <w:sz w:val="20"/>
          <w:szCs w:val="20"/>
        </w:rPr>
      </w:pPr>
      <w:r w:rsidRPr="002E4510">
        <w:rPr>
          <w:rFonts w:ascii="Arial" w:hAnsi="Arial" w:cs="Arial"/>
          <w:b/>
          <w:color w:val="000000" w:themeColor="text1"/>
          <w:sz w:val="20"/>
          <w:szCs w:val="20"/>
        </w:rPr>
        <w:t>All applicant for the GIA award should expect to receive a submission confirmation e-mail from ASHRAE.</w:t>
      </w:r>
    </w:p>
    <w:p w14:paraId="7CBB5457" w14:textId="77777777" w:rsidR="00255D8E" w:rsidRPr="00255D8E" w:rsidRDefault="00255D8E" w:rsidP="00255D8E">
      <w:pPr>
        <w:shd w:val="clear" w:color="auto" w:fill="FFFFFF"/>
        <w:spacing w:after="0" w:line="270" w:lineRule="atLeast"/>
        <w:outlineLvl w:val="2"/>
        <w:rPr>
          <w:rFonts w:ascii="Trebuchet MS" w:eastAsia="Times New Roman" w:hAnsi="Trebuchet MS" w:cs="Times New Roman"/>
          <w:color w:val="006EC7"/>
          <w:sz w:val="27"/>
          <w:szCs w:val="27"/>
        </w:rPr>
      </w:pPr>
      <w:r w:rsidRPr="00255D8E">
        <w:rPr>
          <w:rFonts w:ascii="Arial" w:eastAsia="Times New Roman" w:hAnsi="Arial" w:cs="Arial"/>
          <w:b/>
          <w:bCs/>
          <w:color w:val="006EC7"/>
          <w:sz w:val="27"/>
          <w:szCs w:val="27"/>
          <w:bdr w:val="none" w:sz="0" w:space="0" w:color="auto" w:frame="1"/>
        </w:rPr>
        <w:t>Selection Criteria</w:t>
      </w:r>
    </w:p>
    <w:p w14:paraId="399F7CCD" w14:textId="77777777" w:rsidR="00255D8E" w:rsidRPr="00255D8E" w:rsidRDefault="00255D8E" w:rsidP="00255D8E">
      <w:pPr>
        <w:shd w:val="clear" w:color="auto" w:fill="FFFFFF"/>
        <w:spacing w:after="0" w:line="270" w:lineRule="atLeast"/>
        <w:rPr>
          <w:rFonts w:ascii="Arial" w:eastAsia="Times New Roman" w:hAnsi="Arial" w:cs="Arial"/>
          <w:color w:val="333333"/>
          <w:sz w:val="20"/>
          <w:szCs w:val="20"/>
        </w:rPr>
      </w:pPr>
      <w:r w:rsidRPr="00255D8E">
        <w:rPr>
          <w:rFonts w:ascii="Arial" w:eastAsia="Times New Roman" w:hAnsi="Arial" w:cs="Arial"/>
          <w:noProof/>
          <w:color w:val="333333"/>
          <w:sz w:val="20"/>
          <w:szCs w:val="20"/>
        </w:rPr>
        <w:drawing>
          <wp:inline distT="0" distB="0" distL="0" distR="0" wp14:anchorId="74A712DA" wp14:editId="488B3360">
            <wp:extent cx="77470" cy="172720"/>
            <wp:effectExtent l="0" t="0" r="0" b="0"/>
            <wp:docPr id="4" name="Picture 4" descr="https://www.ashrae.org/images/arrow_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shrae.org/images/arrow_titl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70" cy="172720"/>
                    </a:xfrm>
                    <a:prstGeom prst="rect">
                      <a:avLst/>
                    </a:prstGeom>
                    <a:noFill/>
                    <a:ln>
                      <a:noFill/>
                    </a:ln>
                  </pic:spPr>
                </pic:pic>
              </a:graphicData>
            </a:graphic>
          </wp:inline>
        </w:drawing>
      </w:r>
    </w:p>
    <w:p w14:paraId="36838D3B" w14:textId="77777777" w:rsidR="00255D8E" w:rsidRPr="00255D8E" w:rsidRDefault="00255D8E" w:rsidP="00255D8E">
      <w:pPr>
        <w:shd w:val="clear" w:color="auto" w:fill="FFFFFF"/>
        <w:spacing w:after="0" w:line="270" w:lineRule="atLeast"/>
        <w:rPr>
          <w:rFonts w:ascii="Arial" w:eastAsia="Times New Roman" w:hAnsi="Arial" w:cs="Arial"/>
          <w:color w:val="333333"/>
          <w:sz w:val="20"/>
          <w:szCs w:val="20"/>
        </w:rPr>
      </w:pPr>
      <w:r w:rsidRPr="00255D8E">
        <w:rPr>
          <w:rFonts w:ascii="Arial" w:eastAsia="Times New Roman" w:hAnsi="Arial" w:cs="Arial"/>
          <w:color w:val="333333"/>
          <w:sz w:val="20"/>
          <w:szCs w:val="20"/>
        </w:rPr>
        <w:t>The goal in the selection process is to choose candidates who have the greatest potential for</w:t>
      </w:r>
      <w:r w:rsidR="00561DEA">
        <w:rPr>
          <w:rFonts w:ascii="Arial" w:eastAsia="Times New Roman" w:hAnsi="Arial" w:cs="Arial"/>
          <w:color w:val="333333"/>
          <w:sz w:val="20"/>
          <w:szCs w:val="20"/>
        </w:rPr>
        <w:t xml:space="preserve"> long term</w:t>
      </w:r>
      <w:r w:rsidRPr="00255D8E">
        <w:rPr>
          <w:rFonts w:ascii="Arial" w:eastAsia="Times New Roman" w:hAnsi="Arial" w:cs="Arial"/>
          <w:color w:val="333333"/>
          <w:sz w:val="20"/>
          <w:szCs w:val="20"/>
        </w:rPr>
        <w:t xml:space="preserve"> involvement in ASHRAE and contributions to the ASHRAE membership. The information submitted on the application form is reviewed and scored by the Research Administration Committee (RAC) in the following manner with a maximum score of 100:</w:t>
      </w:r>
    </w:p>
    <w:p w14:paraId="6FCDD238" w14:textId="77777777" w:rsidR="00255D8E" w:rsidRPr="00255D8E" w:rsidRDefault="00255D8E" w:rsidP="00D37636">
      <w:pPr>
        <w:numPr>
          <w:ilvl w:val="0"/>
          <w:numId w:val="3"/>
        </w:numPr>
        <w:shd w:val="clear" w:color="auto" w:fill="FFFFFF"/>
        <w:spacing w:before="100" w:beforeAutospacing="1" w:after="100" w:afterAutospacing="1" w:line="270" w:lineRule="atLeast"/>
        <w:jc w:val="both"/>
        <w:rPr>
          <w:rFonts w:ascii="Arial" w:eastAsia="Times New Roman" w:hAnsi="Arial" w:cs="Arial"/>
          <w:color w:val="333333"/>
          <w:sz w:val="20"/>
          <w:szCs w:val="20"/>
        </w:rPr>
      </w:pPr>
      <w:r w:rsidRPr="00FF66BD">
        <w:rPr>
          <w:rFonts w:ascii="Arial" w:eastAsia="Times New Roman" w:hAnsi="Arial" w:cs="Arial"/>
          <w:color w:val="333333"/>
          <w:sz w:val="20"/>
          <w:szCs w:val="20"/>
          <w:u w:val="single"/>
        </w:rPr>
        <w:t>Academic Performance</w:t>
      </w:r>
      <w:r w:rsidRPr="00255D8E">
        <w:rPr>
          <w:rFonts w:ascii="Arial" w:eastAsia="Times New Roman" w:hAnsi="Arial" w:cs="Arial"/>
          <w:color w:val="333333"/>
          <w:sz w:val="20"/>
          <w:szCs w:val="20"/>
        </w:rPr>
        <w:t>: Overall Grade Point Averages (GPA) should be reported on a scale of 1.0 to 4.0 basis with Excellent = A = 4.0; Average = C = 2.0. Students who attend or have attended institutions that use a different grading system should, with the help of their faculty advisor, attempt to translate their grades to a base having a maximum value of 4. Both undergraduate and graduate GPAs should be reported along with the number of credits associated with each GPA. (See explanation below for guidance on determining number of credits and GPA.)  Students who attended academic institutions outside of North America may be unable to calculate their GPA and number of credits and may not know where they rank in relation to other students in their class. If this is the case, a brief explanation of the system used to evaluate student performance in their academic institution(s) should be provided. As an example, if a student’s academic institution uses a classification system as a basis for designating academic achievement, each of the classifications should be described and the student should indicate the classification they received. For academic institutions from the United Kingdom, a “First” is equivalent to a 4.0, an “Upper Second” to a 3.0, a “Lower Second” to a 2.0, and a “Third” to a 1.0. Up to 2</w:t>
      </w:r>
      <w:r w:rsidR="00715426">
        <w:rPr>
          <w:rFonts w:ascii="Arial" w:eastAsia="Times New Roman" w:hAnsi="Arial" w:cs="Arial"/>
          <w:color w:val="333333"/>
          <w:sz w:val="20"/>
          <w:szCs w:val="20"/>
        </w:rPr>
        <w:t>0</w:t>
      </w:r>
      <w:r w:rsidRPr="00255D8E">
        <w:rPr>
          <w:rFonts w:ascii="Arial" w:eastAsia="Times New Roman" w:hAnsi="Arial" w:cs="Arial"/>
          <w:color w:val="333333"/>
          <w:sz w:val="20"/>
          <w:szCs w:val="20"/>
        </w:rPr>
        <w:t xml:space="preserve"> points are awarded for academic </w:t>
      </w:r>
      <w:r w:rsidRPr="00255D8E">
        <w:rPr>
          <w:rFonts w:ascii="Arial" w:eastAsia="Times New Roman" w:hAnsi="Arial" w:cs="Arial"/>
          <w:color w:val="333333"/>
          <w:sz w:val="20"/>
          <w:szCs w:val="20"/>
        </w:rPr>
        <w:lastRenderedPageBreak/>
        <w:t xml:space="preserve">performance. The quality of the undergraduate and graduate program </w:t>
      </w:r>
      <w:r w:rsidR="0085592D">
        <w:rPr>
          <w:rFonts w:ascii="Arial" w:eastAsia="Times New Roman" w:hAnsi="Arial" w:cs="Arial"/>
          <w:color w:val="333333"/>
          <w:sz w:val="20"/>
          <w:szCs w:val="20"/>
        </w:rPr>
        <w:t xml:space="preserve">is </w:t>
      </w:r>
      <w:r w:rsidRPr="00255D8E">
        <w:rPr>
          <w:rFonts w:ascii="Arial" w:eastAsia="Times New Roman" w:hAnsi="Arial" w:cs="Arial"/>
          <w:color w:val="333333"/>
          <w:sz w:val="20"/>
          <w:szCs w:val="20"/>
        </w:rPr>
        <w:t>used as part of the criteria for awarding the 2</w:t>
      </w:r>
      <w:r w:rsidR="00715426">
        <w:rPr>
          <w:rFonts w:ascii="Arial" w:eastAsia="Times New Roman" w:hAnsi="Arial" w:cs="Arial"/>
          <w:color w:val="333333"/>
          <w:sz w:val="20"/>
          <w:szCs w:val="20"/>
        </w:rPr>
        <w:t>0</w:t>
      </w:r>
      <w:r w:rsidR="00D37636">
        <w:rPr>
          <w:rFonts w:ascii="Arial" w:eastAsia="Times New Roman" w:hAnsi="Arial" w:cs="Arial"/>
          <w:color w:val="333333"/>
          <w:sz w:val="20"/>
          <w:szCs w:val="20"/>
        </w:rPr>
        <w:t xml:space="preserve"> </w:t>
      </w:r>
      <w:r w:rsidRPr="00255D8E">
        <w:rPr>
          <w:rFonts w:ascii="Arial" w:eastAsia="Times New Roman" w:hAnsi="Arial" w:cs="Arial"/>
          <w:color w:val="333333"/>
          <w:sz w:val="20"/>
          <w:szCs w:val="20"/>
        </w:rPr>
        <w:t>points.</w:t>
      </w:r>
    </w:p>
    <w:p w14:paraId="46069A9D" w14:textId="77777777" w:rsidR="007324AD" w:rsidRDefault="00255D8E" w:rsidP="00963708">
      <w:pPr>
        <w:numPr>
          <w:ilvl w:val="0"/>
          <w:numId w:val="6"/>
        </w:numPr>
        <w:shd w:val="clear" w:color="auto" w:fill="FFFFFF"/>
        <w:spacing w:before="100" w:beforeAutospacing="1" w:after="100" w:afterAutospacing="1" w:line="270" w:lineRule="atLeast"/>
        <w:jc w:val="both"/>
        <w:rPr>
          <w:rFonts w:ascii="Arial" w:eastAsia="Times New Roman" w:hAnsi="Arial" w:cs="Arial"/>
          <w:color w:val="333333"/>
          <w:sz w:val="20"/>
          <w:szCs w:val="20"/>
        </w:rPr>
      </w:pPr>
      <w:r w:rsidRPr="007324AD">
        <w:rPr>
          <w:rFonts w:ascii="Arial" w:eastAsia="Times New Roman" w:hAnsi="Arial" w:cs="Arial"/>
          <w:color w:val="333333"/>
          <w:sz w:val="20"/>
          <w:szCs w:val="20"/>
          <w:u w:val="single"/>
        </w:rPr>
        <w:t>Thesis/Research Plan</w:t>
      </w:r>
      <w:r w:rsidRPr="007324AD">
        <w:rPr>
          <w:rFonts w:ascii="Arial" w:eastAsia="Times New Roman" w:hAnsi="Arial" w:cs="Arial"/>
          <w:color w:val="333333"/>
          <w:sz w:val="20"/>
          <w:szCs w:val="20"/>
        </w:rPr>
        <w:t xml:space="preserve">: Significance of thesis/research, outline of plan of procedure, and plans for publication of thesis/research results should be described. A maximum of </w:t>
      </w:r>
      <w:r w:rsidR="00715426" w:rsidRPr="007324AD">
        <w:rPr>
          <w:rFonts w:ascii="Arial" w:eastAsia="Times New Roman" w:hAnsi="Arial" w:cs="Arial"/>
          <w:color w:val="333333"/>
          <w:sz w:val="20"/>
          <w:szCs w:val="20"/>
        </w:rPr>
        <w:t xml:space="preserve">30 </w:t>
      </w:r>
      <w:r w:rsidRPr="007324AD">
        <w:rPr>
          <w:rFonts w:ascii="Arial" w:eastAsia="Times New Roman" w:hAnsi="Arial" w:cs="Arial"/>
          <w:color w:val="333333"/>
          <w:sz w:val="20"/>
          <w:szCs w:val="20"/>
        </w:rPr>
        <w:t>points are awarded for this element of the application.</w:t>
      </w:r>
    </w:p>
    <w:p w14:paraId="06666503" w14:textId="77777777" w:rsidR="007324AD" w:rsidRPr="007324AD" w:rsidRDefault="00255D8E" w:rsidP="00963708">
      <w:pPr>
        <w:numPr>
          <w:ilvl w:val="0"/>
          <w:numId w:val="6"/>
        </w:numPr>
        <w:shd w:val="clear" w:color="auto" w:fill="FFFFFF"/>
        <w:spacing w:before="100" w:beforeAutospacing="1" w:after="100" w:afterAutospacing="1" w:line="270" w:lineRule="atLeast"/>
        <w:jc w:val="both"/>
        <w:rPr>
          <w:rFonts w:ascii="Arial" w:eastAsia="Times New Roman" w:hAnsi="Arial" w:cs="Arial"/>
          <w:color w:val="333333"/>
          <w:sz w:val="20"/>
          <w:szCs w:val="20"/>
        </w:rPr>
      </w:pPr>
      <w:r w:rsidRPr="007324AD">
        <w:rPr>
          <w:rFonts w:ascii="Arial" w:eastAsia="Times New Roman" w:hAnsi="Arial" w:cs="Arial"/>
          <w:color w:val="333333"/>
          <w:sz w:val="20"/>
          <w:szCs w:val="20"/>
          <w:u w:val="single"/>
        </w:rPr>
        <w:t>Faculty advisor recommendation:</w:t>
      </w:r>
      <w:r w:rsidRPr="007324AD">
        <w:rPr>
          <w:rFonts w:ascii="Arial" w:eastAsia="Times New Roman" w:hAnsi="Arial" w:cs="Arial"/>
          <w:color w:val="333333"/>
          <w:sz w:val="20"/>
          <w:szCs w:val="20"/>
        </w:rPr>
        <w:t xml:space="preserve"> The Faculty Advisor should make a recommendation based upon student involvement related to ASHRAE or other related society activity, academic achievements, ability to carry out the research project. Up to 2</w:t>
      </w:r>
      <w:r w:rsidR="00715426" w:rsidRPr="007324AD">
        <w:rPr>
          <w:rFonts w:ascii="Arial" w:eastAsia="Times New Roman" w:hAnsi="Arial" w:cs="Arial"/>
          <w:color w:val="333333"/>
          <w:sz w:val="20"/>
          <w:szCs w:val="20"/>
        </w:rPr>
        <w:t>0</w:t>
      </w:r>
      <w:r w:rsidRPr="007324AD">
        <w:rPr>
          <w:rFonts w:ascii="Arial" w:eastAsia="Times New Roman" w:hAnsi="Arial" w:cs="Arial"/>
          <w:color w:val="333333"/>
          <w:sz w:val="20"/>
          <w:szCs w:val="20"/>
        </w:rPr>
        <w:t xml:space="preserve"> points are awarded based upon these recommendations.  </w:t>
      </w:r>
    </w:p>
    <w:p w14:paraId="213DCDC1" w14:textId="77777777" w:rsidR="00255D8E" w:rsidRPr="007324AD" w:rsidRDefault="00255D8E" w:rsidP="00B824DD">
      <w:pPr>
        <w:numPr>
          <w:ilvl w:val="0"/>
          <w:numId w:val="6"/>
        </w:numPr>
        <w:shd w:val="clear" w:color="auto" w:fill="FFFFFF"/>
        <w:spacing w:before="100" w:beforeAutospacing="1" w:after="100" w:afterAutospacing="1" w:line="270" w:lineRule="atLeast"/>
        <w:jc w:val="both"/>
        <w:rPr>
          <w:rFonts w:ascii="Arial" w:eastAsia="Times New Roman" w:hAnsi="Arial" w:cs="Arial"/>
          <w:color w:val="333333"/>
          <w:sz w:val="20"/>
          <w:szCs w:val="20"/>
        </w:rPr>
      </w:pPr>
      <w:r w:rsidRPr="007324AD">
        <w:rPr>
          <w:rFonts w:ascii="Arial" w:eastAsia="Times New Roman" w:hAnsi="Arial" w:cs="Arial"/>
          <w:color w:val="333333"/>
          <w:sz w:val="20"/>
          <w:szCs w:val="20"/>
          <w:u w:val="single"/>
        </w:rPr>
        <w:t>Potential for future ASHRAE involvement</w:t>
      </w:r>
      <w:r w:rsidRPr="007324AD">
        <w:rPr>
          <w:rFonts w:ascii="Arial" w:eastAsia="Times New Roman" w:hAnsi="Arial" w:cs="Arial"/>
          <w:color w:val="333333"/>
          <w:sz w:val="20"/>
          <w:szCs w:val="20"/>
        </w:rPr>
        <w:t xml:space="preserve">: The evaluation of this criterion is based on the student and faculty involvement within ASHRAE, the relevance of the thesis/research project to ASHRAE, the history of ASHRAE involvement of the institution. The student is strongly encouraged to be a student member within ASHRAE and participate in ASHRAE activities such as an ASHRAE student chapter and local chapter. The faculty advisor is expected to be an ASHRAE member and should demonstrate a history of and/or future potential for involvement within ASHRAE activities. For students and faculty residing outside of North America, membership in the appropriate ASHRAE associate society will </w:t>
      </w:r>
      <w:proofErr w:type="gramStart"/>
      <w:r w:rsidRPr="007324AD">
        <w:rPr>
          <w:rFonts w:ascii="Arial" w:eastAsia="Times New Roman" w:hAnsi="Arial" w:cs="Arial"/>
          <w:color w:val="333333"/>
          <w:sz w:val="20"/>
          <w:szCs w:val="20"/>
        </w:rPr>
        <w:t>be considered to be</w:t>
      </w:r>
      <w:proofErr w:type="gramEnd"/>
      <w:r w:rsidRPr="007324AD">
        <w:rPr>
          <w:rFonts w:ascii="Arial" w:eastAsia="Times New Roman" w:hAnsi="Arial" w:cs="Arial"/>
          <w:color w:val="333333"/>
          <w:sz w:val="20"/>
          <w:szCs w:val="20"/>
        </w:rPr>
        <w:t xml:space="preserve"> equivalent. </w:t>
      </w:r>
      <w:r w:rsidR="00715426" w:rsidRPr="007324AD">
        <w:rPr>
          <w:rFonts w:ascii="Arial" w:eastAsia="Times New Roman" w:hAnsi="Arial" w:cs="Arial"/>
          <w:color w:val="333333"/>
          <w:sz w:val="20"/>
          <w:szCs w:val="20"/>
        </w:rPr>
        <w:t xml:space="preserve">30 </w:t>
      </w:r>
      <w:r w:rsidRPr="007324AD">
        <w:rPr>
          <w:rFonts w:ascii="Arial" w:eastAsia="Times New Roman" w:hAnsi="Arial" w:cs="Arial"/>
          <w:color w:val="333333"/>
          <w:sz w:val="20"/>
          <w:szCs w:val="20"/>
        </w:rPr>
        <w:t>points are awarded for the potential for future involvement by the nominee.</w:t>
      </w:r>
    </w:p>
    <w:p w14:paraId="5B0B184A" w14:textId="77777777" w:rsidR="00FF66BD" w:rsidRPr="00D37636" w:rsidRDefault="00FF66BD" w:rsidP="00D37636">
      <w:pPr>
        <w:autoSpaceDE w:val="0"/>
        <w:autoSpaceDN w:val="0"/>
        <w:adjustRightInd w:val="0"/>
        <w:ind w:left="360"/>
        <w:jc w:val="both"/>
        <w:rPr>
          <w:rFonts w:ascii="Arial" w:hAnsi="Arial" w:cs="Arial"/>
          <w:sz w:val="20"/>
          <w:szCs w:val="20"/>
          <w:u w:val="single"/>
        </w:rPr>
      </w:pPr>
      <w:r w:rsidRPr="00D37636">
        <w:rPr>
          <w:rFonts w:ascii="Arial" w:hAnsi="Arial" w:cs="Arial"/>
          <w:sz w:val="20"/>
          <w:szCs w:val="20"/>
          <w:u w:val="single"/>
        </w:rPr>
        <w:t xml:space="preserve">Determining Grade Point Averages and Credits </w:t>
      </w:r>
    </w:p>
    <w:p w14:paraId="53AFAB0B" w14:textId="77777777" w:rsidR="00FF66BD" w:rsidRPr="00D37636" w:rsidRDefault="00FF66BD" w:rsidP="00D37636">
      <w:pPr>
        <w:pStyle w:val="ListParagraph"/>
        <w:numPr>
          <w:ilvl w:val="0"/>
          <w:numId w:val="6"/>
        </w:numPr>
        <w:jc w:val="both"/>
        <w:rPr>
          <w:rFonts w:ascii="Arial" w:hAnsi="Arial" w:cs="Arial"/>
          <w:sz w:val="20"/>
          <w:szCs w:val="20"/>
        </w:rPr>
      </w:pPr>
      <w:r w:rsidRPr="00D37636">
        <w:rPr>
          <w:rFonts w:ascii="Arial" w:hAnsi="Arial" w:cs="Arial"/>
          <w:sz w:val="20"/>
          <w:szCs w:val="20"/>
        </w:rPr>
        <w:t xml:space="preserve">Academic courses in North American colleges and universities are generally assigned </w:t>
      </w:r>
      <w:proofErr w:type="gramStart"/>
      <w:r w:rsidRPr="00D37636">
        <w:rPr>
          <w:rFonts w:ascii="Arial" w:hAnsi="Arial" w:cs="Arial"/>
          <w:sz w:val="20"/>
          <w:szCs w:val="20"/>
        </w:rPr>
        <w:t>a number of</w:t>
      </w:r>
      <w:proofErr w:type="gramEnd"/>
      <w:r w:rsidRPr="00D37636">
        <w:rPr>
          <w:rFonts w:ascii="Arial" w:hAnsi="Arial" w:cs="Arial"/>
          <w:sz w:val="20"/>
          <w:szCs w:val="20"/>
        </w:rPr>
        <w:t xml:space="preserve"> credits according to the workload of the course. A 3-credit course generally implies that there are three hours of lectures associated with the course each week. Students are assigned letter grades in each course (e.g., an “A” denotes excellent performance, a “C” denotes average performance, etc.) A letter grade is sometimes followed by a “+” or a “</w:t>
      </w:r>
      <w:proofErr w:type="gramStart"/>
      <w:r w:rsidRPr="00D37636">
        <w:rPr>
          <w:rFonts w:ascii="Arial" w:hAnsi="Arial" w:cs="Arial"/>
          <w:sz w:val="20"/>
          <w:szCs w:val="20"/>
        </w:rPr>
        <w:t>-“</w:t>
      </w:r>
      <w:proofErr w:type="gramEnd"/>
      <w:r w:rsidRPr="00D37636">
        <w:rPr>
          <w:rFonts w:ascii="Arial" w:hAnsi="Arial" w:cs="Arial"/>
          <w:sz w:val="20"/>
          <w:szCs w:val="20"/>
        </w:rPr>
        <w:t>, where, for example, a “C+” denotes performance slightly above average, and a “C</w:t>
      </w:r>
      <w:proofErr w:type="gramStart"/>
      <w:r w:rsidRPr="00D37636">
        <w:rPr>
          <w:rFonts w:ascii="Arial" w:hAnsi="Arial" w:cs="Arial"/>
          <w:sz w:val="20"/>
          <w:szCs w:val="20"/>
        </w:rPr>
        <w:t>-“ denotes</w:t>
      </w:r>
      <w:proofErr w:type="gramEnd"/>
      <w:r w:rsidRPr="00D37636">
        <w:rPr>
          <w:rFonts w:ascii="Arial" w:hAnsi="Arial" w:cs="Arial"/>
          <w:sz w:val="20"/>
          <w:szCs w:val="20"/>
        </w:rPr>
        <w:t xml:space="preserve"> performance slightly below average. Letter grades are then translated to a number on a point scale from 0.0 to 4.0, as shown in the example table below.</w:t>
      </w:r>
    </w:p>
    <w:tbl>
      <w:tblPr>
        <w:tblW w:w="0" w:type="auto"/>
        <w:tblInd w:w="2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52"/>
        <w:gridCol w:w="2271"/>
        <w:gridCol w:w="356"/>
      </w:tblGrid>
      <w:tr w:rsidR="00FF66BD" w:rsidRPr="00B21BCD" w14:paraId="38B9912C" w14:textId="77777777" w:rsidTr="007324AD">
        <w:trPr>
          <w:trHeight w:val="304"/>
        </w:trPr>
        <w:tc>
          <w:tcPr>
            <w:tcW w:w="1452" w:type="dxa"/>
          </w:tcPr>
          <w:p w14:paraId="1541AEDF" w14:textId="77777777" w:rsidR="00FF66BD" w:rsidRPr="00D37636" w:rsidRDefault="00FF66BD" w:rsidP="006250D3">
            <w:pPr>
              <w:pStyle w:val="Default"/>
              <w:rPr>
                <w:sz w:val="20"/>
                <w:szCs w:val="20"/>
              </w:rPr>
            </w:pPr>
            <w:r w:rsidRPr="00D37636">
              <w:rPr>
                <w:sz w:val="20"/>
                <w:szCs w:val="20"/>
              </w:rPr>
              <w:t xml:space="preserve">Letter Grade </w:t>
            </w:r>
          </w:p>
        </w:tc>
        <w:tc>
          <w:tcPr>
            <w:tcW w:w="2271" w:type="dxa"/>
          </w:tcPr>
          <w:p w14:paraId="13DE6DBE" w14:textId="77777777" w:rsidR="00FF66BD" w:rsidRPr="00D37636" w:rsidRDefault="00FF66BD" w:rsidP="006250D3">
            <w:pPr>
              <w:pStyle w:val="Default"/>
              <w:rPr>
                <w:sz w:val="20"/>
                <w:szCs w:val="20"/>
              </w:rPr>
            </w:pPr>
            <w:r w:rsidRPr="00D37636">
              <w:rPr>
                <w:sz w:val="20"/>
                <w:szCs w:val="20"/>
              </w:rPr>
              <w:t xml:space="preserve"> Points on the Point Scale </w:t>
            </w:r>
          </w:p>
        </w:tc>
        <w:tc>
          <w:tcPr>
            <w:tcW w:w="356" w:type="dxa"/>
          </w:tcPr>
          <w:p w14:paraId="5724C580" w14:textId="77777777" w:rsidR="00FF66BD" w:rsidRPr="00D37636" w:rsidRDefault="00FF66BD">
            <w:pPr>
              <w:rPr>
                <w:rFonts w:ascii="Arial" w:hAnsi="Arial" w:cs="Arial"/>
                <w:sz w:val="20"/>
                <w:szCs w:val="20"/>
              </w:rPr>
            </w:pPr>
            <w:r w:rsidRPr="00D37636">
              <w:rPr>
                <w:rFonts w:ascii="Arial" w:hAnsi="Arial" w:cs="Arial"/>
                <w:sz w:val="20"/>
                <w:szCs w:val="20"/>
              </w:rPr>
              <w:t xml:space="preserve"> </w:t>
            </w:r>
          </w:p>
        </w:tc>
      </w:tr>
      <w:tr w:rsidR="00FF66BD" w:rsidRPr="00B21BCD" w14:paraId="4870CC81" w14:textId="77777777" w:rsidTr="007324AD">
        <w:trPr>
          <w:trHeight w:val="452"/>
        </w:trPr>
        <w:tc>
          <w:tcPr>
            <w:tcW w:w="1452" w:type="dxa"/>
          </w:tcPr>
          <w:p w14:paraId="42031E60" w14:textId="77777777" w:rsidR="00FF66BD" w:rsidRPr="00D37636" w:rsidRDefault="00FF66BD" w:rsidP="006250D3">
            <w:pPr>
              <w:pStyle w:val="Default"/>
              <w:rPr>
                <w:sz w:val="20"/>
                <w:szCs w:val="20"/>
              </w:rPr>
            </w:pPr>
            <w:r w:rsidRPr="00D37636">
              <w:rPr>
                <w:sz w:val="20"/>
                <w:szCs w:val="20"/>
              </w:rPr>
              <w:t xml:space="preserve"> A </w:t>
            </w:r>
          </w:p>
        </w:tc>
        <w:tc>
          <w:tcPr>
            <w:tcW w:w="2271" w:type="dxa"/>
          </w:tcPr>
          <w:p w14:paraId="0CB1171B" w14:textId="77777777" w:rsidR="00FF66BD" w:rsidRPr="00D37636" w:rsidRDefault="00FF66BD" w:rsidP="006250D3">
            <w:pPr>
              <w:pStyle w:val="Default"/>
              <w:rPr>
                <w:sz w:val="20"/>
                <w:szCs w:val="20"/>
              </w:rPr>
            </w:pPr>
            <w:r w:rsidRPr="00D37636">
              <w:rPr>
                <w:sz w:val="20"/>
                <w:szCs w:val="20"/>
              </w:rPr>
              <w:t xml:space="preserve"> 4.000 </w:t>
            </w:r>
          </w:p>
        </w:tc>
        <w:tc>
          <w:tcPr>
            <w:tcW w:w="356" w:type="dxa"/>
          </w:tcPr>
          <w:p w14:paraId="00D00C34" w14:textId="77777777" w:rsidR="00FF66BD" w:rsidRPr="00D37636" w:rsidRDefault="00FF66BD">
            <w:pPr>
              <w:rPr>
                <w:rFonts w:ascii="Arial" w:hAnsi="Arial" w:cs="Arial"/>
                <w:sz w:val="20"/>
                <w:szCs w:val="20"/>
              </w:rPr>
            </w:pPr>
            <w:r w:rsidRPr="00D37636">
              <w:rPr>
                <w:rFonts w:ascii="Arial" w:hAnsi="Arial" w:cs="Arial"/>
                <w:sz w:val="20"/>
                <w:szCs w:val="20"/>
              </w:rPr>
              <w:t xml:space="preserve"> </w:t>
            </w:r>
          </w:p>
        </w:tc>
      </w:tr>
      <w:tr w:rsidR="00FF66BD" w:rsidRPr="00B21BCD" w14:paraId="14EC0D73" w14:textId="77777777" w:rsidTr="007324AD">
        <w:trPr>
          <w:trHeight w:val="155"/>
        </w:trPr>
        <w:tc>
          <w:tcPr>
            <w:tcW w:w="1452" w:type="dxa"/>
          </w:tcPr>
          <w:p w14:paraId="2A6251C0" w14:textId="77777777" w:rsidR="00FF66BD" w:rsidRPr="00D37636" w:rsidRDefault="00FF66BD" w:rsidP="006250D3">
            <w:pPr>
              <w:pStyle w:val="Default"/>
              <w:rPr>
                <w:sz w:val="20"/>
                <w:szCs w:val="20"/>
              </w:rPr>
            </w:pPr>
            <w:r w:rsidRPr="00D37636">
              <w:rPr>
                <w:sz w:val="20"/>
                <w:szCs w:val="20"/>
              </w:rPr>
              <w:t xml:space="preserve"> A- </w:t>
            </w:r>
          </w:p>
        </w:tc>
        <w:tc>
          <w:tcPr>
            <w:tcW w:w="2271" w:type="dxa"/>
          </w:tcPr>
          <w:p w14:paraId="18E6EC5F" w14:textId="77777777" w:rsidR="00FF66BD" w:rsidRPr="00D37636" w:rsidRDefault="00FF66BD" w:rsidP="006250D3">
            <w:pPr>
              <w:pStyle w:val="Default"/>
              <w:rPr>
                <w:sz w:val="20"/>
                <w:szCs w:val="20"/>
              </w:rPr>
            </w:pPr>
            <w:r w:rsidRPr="00D37636">
              <w:rPr>
                <w:sz w:val="20"/>
                <w:szCs w:val="20"/>
              </w:rPr>
              <w:t xml:space="preserve"> 3.667 </w:t>
            </w:r>
          </w:p>
        </w:tc>
        <w:tc>
          <w:tcPr>
            <w:tcW w:w="356" w:type="dxa"/>
          </w:tcPr>
          <w:p w14:paraId="6E06C623" w14:textId="77777777" w:rsidR="00FF66BD" w:rsidRPr="00D37636" w:rsidRDefault="00FF66BD">
            <w:pPr>
              <w:rPr>
                <w:rFonts w:ascii="Arial" w:hAnsi="Arial" w:cs="Arial"/>
                <w:sz w:val="20"/>
                <w:szCs w:val="20"/>
              </w:rPr>
            </w:pPr>
            <w:r w:rsidRPr="00D37636">
              <w:rPr>
                <w:rFonts w:ascii="Arial" w:hAnsi="Arial" w:cs="Arial"/>
                <w:sz w:val="20"/>
                <w:szCs w:val="20"/>
              </w:rPr>
              <w:t xml:space="preserve"> </w:t>
            </w:r>
          </w:p>
        </w:tc>
      </w:tr>
      <w:tr w:rsidR="00FF66BD" w:rsidRPr="00B21BCD" w14:paraId="798280C6" w14:textId="77777777" w:rsidTr="007324AD">
        <w:trPr>
          <w:trHeight w:val="157"/>
        </w:trPr>
        <w:tc>
          <w:tcPr>
            <w:tcW w:w="1452" w:type="dxa"/>
          </w:tcPr>
          <w:p w14:paraId="3ECCBB6F" w14:textId="77777777" w:rsidR="00FF66BD" w:rsidRPr="00D37636" w:rsidRDefault="00FF66BD" w:rsidP="006250D3">
            <w:pPr>
              <w:pStyle w:val="Default"/>
              <w:rPr>
                <w:sz w:val="20"/>
                <w:szCs w:val="20"/>
              </w:rPr>
            </w:pPr>
            <w:r w:rsidRPr="00D37636">
              <w:rPr>
                <w:sz w:val="20"/>
                <w:szCs w:val="20"/>
              </w:rPr>
              <w:t xml:space="preserve"> B+ </w:t>
            </w:r>
          </w:p>
        </w:tc>
        <w:tc>
          <w:tcPr>
            <w:tcW w:w="2271" w:type="dxa"/>
          </w:tcPr>
          <w:p w14:paraId="4F3F762D" w14:textId="77777777" w:rsidR="00FF66BD" w:rsidRPr="00D37636" w:rsidRDefault="00FF66BD" w:rsidP="006250D3">
            <w:pPr>
              <w:pStyle w:val="Default"/>
              <w:rPr>
                <w:sz w:val="20"/>
                <w:szCs w:val="20"/>
              </w:rPr>
            </w:pPr>
            <w:r w:rsidRPr="00D37636">
              <w:rPr>
                <w:sz w:val="20"/>
                <w:szCs w:val="20"/>
              </w:rPr>
              <w:t xml:space="preserve"> 3.333 </w:t>
            </w:r>
          </w:p>
        </w:tc>
        <w:tc>
          <w:tcPr>
            <w:tcW w:w="356" w:type="dxa"/>
          </w:tcPr>
          <w:p w14:paraId="50A588EB" w14:textId="77777777" w:rsidR="00FF66BD" w:rsidRPr="00D37636" w:rsidRDefault="00FF66BD">
            <w:pPr>
              <w:rPr>
                <w:rFonts w:ascii="Arial" w:hAnsi="Arial" w:cs="Arial"/>
                <w:sz w:val="20"/>
                <w:szCs w:val="20"/>
              </w:rPr>
            </w:pPr>
            <w:r w:rsidRPr="00D37636">
              <w:rPr>
                <w:rFonts w:ascii="Arial" w:hAnsi="Arial" w:cs="Arial"/>
                <w:sz w:val="20"/>
                <w:szCs w:val="20"/>
              </w:rPr>
              <w:t xml:space="preserve"> </w:t>
            </w:r>
          </w:p>
        </w:tc>
      </w:tr>
      <w:tr w:rsidR="00FF66BD" w:rsidRPr="00B21BCD" w14:paraId="30195FF2" w14:textId="77777777" w:rsidTr="007324AD">
        <w:trPr>
          <w:trHeight w:val="155"/>
        </w:trPr>
        <w:tc>
          <w:tcPr>
            <w:tcW w:w="1452" w:type="dxa"/>
          </w:tcPr>
          <w:p w14:paraId="1E93313B" w14:textId="77777777" w:rsidR="00FF66BD" w:rsidRPr="00D37636" w:rsidRDefault="00FF66BD" w:rsidP="006250D3">
            <w:pPr>
              <w:pStyle w:val="Default"/>
              <w:rPr>
                <w:sz w:val="20"/>
                <w:szCs w:val="20"/>
              </w:rPr>
            </w:pPr>
            <w:r w:rsidRPr="00D37636">
              <w:rPr>
                <w:sz w:val="20"/>
                <w:szCs w:val="20"/>
              </w:rPr>
              <w:t xml:space="preserve"> B </w:t>
            </w:r>
          </w:p>
        </w:tc>
        <w:tc>
          <w:tcPr>
            <w:tcW w:w="2271" w:type="dxa"/>
          </w:tcPr>
          <w:p w14:paraId="0FD45D4F" w14:textId="77777777" w:rsidR="00FF66BD" w:rsidRPr="00D37636" w:rsidRDefault="00FF66BD" w:rsidP="006250D3">
            <w:pPr>
              <w:pStyle w:val="Default"/>
              <w:rPr>
                <w:sz w:val="20"/>
                <w:szCs w:val="20"/>
              </w:rPr>
            </w:pPr>
            <w:r w:rsidRPr="00D37636">
              <w:rPr>
                <w:sz w:val="20"/>
                <w:szCs w:val="20"/>
              </w:rPr>
              <w:t xml:space="preserve"> 3.000 </w:t>
            </w:r>
          </w:p>
        </w:tc>
        <w:tc>
          <w:tcPr>
            <w:tcW w:w="356" w:type="dxa"/>
          </w:tcPr>
          <w:p w14:paraId="610C4E01" w14:textId="77777777" w:rsidR="00FF66BD" w:rsidRPr="00D37636" w:rsidRDefault="00FF66BD">
            <w:pPr>
              <w:rPr>
                <w:rFonts w:ascii="Arial" w:hAnsi="Arial" w:cs="Arial"/>
                <w:sz w:val="20"/>
                <w:szCs w:val="20"/>
              </w:rPr>
            </w:pPr>
            <w:r w:rsidRPr="00D37636">
              <w:rPr>
                <w:rFonts w:ascii="Arial" w:hAnsi="Arial" w:cs="Arial"/>
                <w:sz w:val="20"/>
                <w:szCs w:val="20"/>
              </w:rPr>
              <w:t xml:space="preserve"> </w:t>
            </w:r>
          </w:p>
        </w:tc>
      </w:tr>
      <w:tr w:rsidR="00FF66BD" w:rsidRPr="00B21BCD" w14:paraId="34DFF91F" w14:textId="77777777" w:rsidTr="007324AD">
        <w:trPr>
          <w:trHeight w:val="157"/>
        </w:trPr>
        <w:tc>
          <w:tcPr>
            <w:tcW w:w="1452" w:type="dxa"/>
          </w:tcPr>
          <w:p w14:paraId="588289C0" w14:textId="77777777" w:rsidR="00FF66BD" w:rsidRPr="00D37636" w:rsidRDefault="00FF66BD" w:rsidP="006250D3">
            <w:pPr>
              <w:pStyle w:val="Default"/>
              <w:rPr>
                <w:sz w:val="20"/>
                <w:szCs w:val="20"/>
              </w:rPr>
            </w:pPr>
            <w:r w:rsidRPr="00D37636">
              <w:rPr>
                <w:sz w:val="20"/>
                <w:szCs w:val="20"/>
              </w:rPr>
              <w:t xml:space="preserve"> B- </w:t>
            </w:r>
          </w:p>
        </w:tc>
        <w:tc>
          <w:tcPr>
            <w:tcW w:w="2271" w:type="dxa"/>
          </w:tcPr>
          <w:p w14:paraId="22EB657E" w14:textId="77777777" w:rsidR="00FF66BD" w:rsidRPr="00D37636" w:rsidRDefault="00FF66BD" w:rsidP="006250D3">
            <w:pPr>
              <w:pStyle w:val="Default"/>
              <w:rPr>
                <w:sz w:val="20"/>
                <w:szCs w:val="20"/>
              </w:rPr>
            </w:pPr>
            <w:r w:rsidRPr="00D37636">
              <w:rPr>
                <w:sz w:val="20"/>
                <w:szCs w:val="20"/>
              </w:rPr>
              <w:t xml:space="preserve"> 2.667 </w:t>
            </w:r>
          </w:p>
        </w:tc>
        <w:tc>
          <w:tcPr>
            <w:tcW w:w="356" w:type="dxa"/>
          </w:tcPr>
          <w:p w14:paraId="3BA144FA" w14:textId="77777777" w:rsidR="00FF66BD" w:rsidRPr="00D37636" w:rsidRDefault="00FF66BD">
            <w:pPr>
              <w:rPr>
                <w:rFonts w:ascii="Arial" w:hAnsi="Arial" w:cs="Arial"/>
                <w:sz w:val="20"/>
                <w:szCs w:val="20"/>
              </w:rPr>
            </w:pPr>
            <w:r w:rsidRPr="00D37636">
              <w:rPr>
                <w:rFonts w:ascii="Arial" w:hAnsi="Arial" w:cs="Arial"/>
                <w:sz w:val="20"/>
                <w:szCs w:val="20"/>
              </w:rPr>
              <w:t xml:space="preserve"> </w:t>
            </w:r>
          </w:p>
        </w:tc>
      </w:tr>
      <w:tr w:rsidR="00FF66BD" w:rsidRPr="00B21BCD" w14:paraId="31F68CD9" w14:textId="77777777" w:rsidTr="007324AD">
        <w:trPr>
          <w:trHeight w:val="155"/>
        </w:trPr>
        <w:tc>
          <w:tcPr>
            <w:tcW w:w="1452" w:type="dxa"/>
          </w:tcPr>
          <w:p w14:paraId="0F64ECFC" w14:textId="77777777" w:rsidR="00FF66BD" w:rsidRPr="00D37636" w:rsidRDefault="00FF66BD" w:rsidP="006250D3">
            <w:pPr>
              <w:pStyle w:val="Default"/>
              <w:rPr>
                <w:sz w:val="20"/>
                <w:szCs w:val="20"/>
              </w:rPr>
            </w:pPr>
            <w:r w:rsidRPr="00D37636">
              <w:rPr>
                <w:sz w:val="20"/>
                <w:szCs w:val="20"/>
              </w:rPr>
              <w:t xml:space="preserve"> C+ </w:t>
            </w:r>
          </w:p>
        </w:tc>
        <w:tc>
          <w:tcPr>
            <w:tcW w:w="2271" w:type="dxa"/>
          </w:tcPr>
          <w:p w14:paraId="2DE44768" w14:textId="77777777" w:rsidR="00FF66BD" w:rsidRPr="00D37636" w:rsidRDefault="00FF66BD" w:rsidP="006250D3">
            <w:pPr>
              <w:pStyle w:val="Default"/>
              <w:rPr>
                <w:sz w:val="20"/>
                <w:szCs w:val="20"/>
              </w:rPr>
            </w:pPr>
            <w:r w:rsidRPr="00D37636">
              <w:rPr>
                <w:sz w:val="20"/>
                <w:szCs w:val="20"/>
              </w:rPr>
              <w:t xml:space="preserve"> 2.333 </w:t>
            </w:r>
          </w:p>
        </w:tc>
        <w:tc>
          <w:tcPr>
            <w:tcW w:w="356" w:type="dxa"/>
          </w:tcPr>
          <w:p w14:paraId="29941BAD" w14:textId="77777777" w:rsidR="00FF66BD" w:rsidRPr="00D37636" w:rsidRDefault="00FF66BD">
            <w:pPr>
              <w:rPr>
                <w:rFonts w:ascii="Arial" w:hAnsi="Arial" w:cs="Arial"/>
                <w:sz w:val="20"/>
                <w:szCs w:val="20"/>
              </w:rPr>
            </w:pPr>
            <w:r w:rsidRPr="00D37636">
              <w:rPr>
                <w:rFonts w:ascii="Arial" w:hAnsi="Arial" w:cs="Arial"/>
                <w:sz w:val="20"/>
                <w:szCs w:val="20"/>
              </w:rPr>
              <w:t xml:space="preserve"> </w:t>
            </w:r>
          </w:p>
        </w:tc>
      </w:tr>
      <w:tr w:rsidR="00FF66BD" w:rsidRPr="00B21BCD" w14:paraId="20BB0DD9" w14:textId="77777777" w:rsidTr="007324AD">
        <w:trPr>
          <w:trHeight w:val="155"/>
        </w:trPr>
        <w:tc>
          <w:tcPr>
            <w:tcW w:w="1452" w:type="dxa"/>
          </w:tcPr>
          <w:p w14:paraId="5A8621DE" w14:textId="77777777" w:rsidR="00FF66BD" w:rsidRPr="00D37636" w:rsidRDefault="00FF66BD" w:rsidP="006250D3">
            <w:pPr>
              <w:pStyle w:val="Default"/>
              <w:rPr>
                <w:sz w:val="20"/>
                <w:szCs w:val="20"/>
              </w:rPr>
            </w:pPr>
            <w:r w:rsidRPr="00D37636">
              <w:rPr>
                <w:sz w:val="20"/>
                <w:szCs w:val="20"/>
              </w:rPr>
              <w:t xml:space="preserve"> C </w:t>
            </w:r>
          </w:p>
        </w:tc>
        <w:tc>
          <w:tcPr>
            <w:tcW w:w="2271" w:type="dxa"/>
          </w:tcPr>
          <w:p w14:paraId="66CE34F6" w14:textId="77777777" w:rsidR="00FF66BD" w:rsidRPr="00D37636" w:rsidRDefault="00FF66BD" w:rsidP="006250D3">
            <w:pPr>
              <w:pStyle w:val="Default"/>
              <w:rPr>
                <w:sz w:val="20"/>
                <w:szCs w:val="20"/>
              </w:rPr>
            </w:pPr>
            <w:r w:rsidRPr="00D37636">
              <w:rPr>
                <w:sz w:val="20"/>
                <w:szCs w:val="20"/>
              </w:rPr>
              <w:t xml:space="preserve"> 2.000 </w:t>
            </w:r>
          </w:p>
        </w:tc>
        <w:tc>
          <w:tcPr>
            <w:tcW w:w="356" w:type="dxa"/>
          </w:tcPr>
          <w:p w14:paraId="0FD2B01D" w14:textId="77777777" w:rsidR="00FF66BD" w:rsidRPr="00D37636" w:rsidRDefault="00FF66BD">
            <w:pPr>
              <w:rPr>
                <w:rFonts w:ascii="Arial" w:hAnsi="Arial" w:cs="Arial"/>
                <w:sz w:val="20"/>
                <w:szCs w:val="20"/>
              </w:rPr>
            </w:pPr>
            <w:r w:rsidRPr="00D37636">
              <w:rPr>
                <w:rFonts w:ascii="Arial" w:hAnsi="Arial" w:cs="Arial"/>
                <w:sz w:val="20"/>
                <w:szCs w:val="20"/>
              </w:rPr>
              <w:t xml:space="preserve"> </w:t>
            </w:r>
          </w:p>
        </w:tc>
      </w:tr>
      <w:tr w:rsidR="00FF66BD" w:rsidRPr="00B21BCD" w14:paraId="07C97BF9" w14:textId="77777777" w:rsidTr="007324AD">
        <w:trPr>
          <w:trHeight w:val="155"/>
        </w:trPr>
        <w:tc>
          <w:tcPr>
            <w:tcW w:w="1452" w:type="dxa"/>
          </w:tcPr>
          <w:p w14:paraId="430EF1FB" w14:textId="77777777" w:rsidR="00FF66BD" w:rsidRPr="00D37636" w:rsidRDefault="00FF66BD" w:rsidP="006250D3">
            <w:pPr>
              <w:pStyle w:val="Default"/>
              <w:rPr>
                <w:sz w:val="20"/>
                <w:szCs w:val="20"/>
              </w:rPr>
            </w:pPr>
            <w:r w:rsidRPr="00D37636">
              <w:rPr>
                <w:sz w:val="20"/>
                <w:szCs w:val="20"/>
              </w:rPr>
              <w:t xml:space="preserve"> C- </w:t>
            </w:r>
          </w:p>
        </w:tc>
        <w:tc>
          <w:tcPr>
            <w:tcW w:w="2271" w:type="dxa"/>
          </w:tcPr>
          <w:p w14:paraId="2F661435" w14:textId="77777777" w:rsidR="00FF66BD" w:rsidRPr="00D37636" w:rsidRDefault="00FF66BD" w:rsidP="006250D3">
            <w:pPr>
              <w:pStyle w:val="Default"/>
              <w:rPr>
                <w:sz w:val="20"/>
                <w:szCs w:val="20"/>
              </w:rPr>
            </w:pPr>
            <w:r w:rsidRPr="00D37636">
              <w:rPr>
                <w:sz w:val="20"/>
                <w:szCs w:val="20"/>
              </w:rPr>
              <w:t xml:space="preserve"> 1.667 </w:t>
            </w:r>
          </w:p>
        </w:tc>
        <w:tc>
          <w:tcPr>
            <w:tcW w:w="356" w:type="dxa"/>
          </w:tcPr>
          <w:p w14:paraId="7A220FEA" w14:textId="77777777" w:rsidR="00FF66BD" w:rsidRPr="00D37636" w:rsidRDefault="00FF66BD">
            <w:pPr>
              <w:rPr>
                <w:rFonts w:ascii="Arial" w:hAnsi="Arial" w:cs="Arial"/>
                <w:sz w:val="20"/>
                <w:szCs w:val="20"/>
              </w:rPr>
            </w:pPr>
            <w:r w:rsidRPr="00D37636">
              <w:rPr>
                <w:rFonts w:ascii="Arial" w:hAnsi="Arial" w:cs="Arial"/>
                <w:sz w:val="20"/>
                <w:szCs w:val="20"/>
              </w:rPr>
              <w:t xml:space="preserve"> </w:t>
            </w:r>
          </w:p>
        </w:tc>
      </w:tr>
      <w:tr w:rsidR="00FF66BD" w:rsidRPr="00B21BCD" w14:paraId="6BFABE65" w14:textId="77777777" w:rsidTr="007324AD">
        <w:trPr>
          <w:trHeight w:val="155"/>
        </w:trPr>
        <w:tc>
          <w:tcPr>
            <w:tcW w:w="1452" w:type="dxa"/>
          </w:tcPr>
          <w:p w14:paraId="57A5AB97" w14:textId="77777777" w:rsidR="00FF66BD" w:rsidRPr="00D37636" w:rsidRDefault="00FF66BD" w:rsidP="006250D3">
            <w:pPr>
              <w:pStyle w:val="Default"/>
              <w:rPr>
                <w:sz w:val="20"/>
                <w:szCs w:val="20"/>
              </w:rPr>
            </w:pPr>
            <w:r w:rsidRPr="00D37636">
              <w:rPr>
                <w:sz w:val="20"/>
                <w:szCs w:val="20"/>
              </w:rPr>
              <w:lastRenderedPageBreak/>
              <w:t xml:space="preserve"> D+ </w:t>
            </w:r>
          </w:p>
        </w:tc>
        <w:tc>
          <w:tcPr>
            <w:tcW w:w="2271" w:type="dxa"/>
          </w:tcPr>
          <w:p w14:paraId="09B4992C" w14:textId="77777777" w:rsidR="00FF66BD" w:rsidRPr="00D37636" w:rsidRDefault="00FF66BD" w:rsidP="006250D3">
            <w:pPr>
              <w:pStyle w:val="Default"/>
              <w:rPr>
                <w:sz w:val="20"/>
                <w:szCs w:val="20"/>
              </w:rPr>
            </w:pPr>
            <w:r w:rsidRPr="00D37636">
              <w:rPr>
                <w:sz w:val="20"/>
                <w:szCs w:val="20"/>
              </w:rPr>
              <w:t xml:space="preserve"> 1.333 </w:t>
            </w:r>
          </w:p>
        </w:tc>
        <w:tc>
          <w:tcPr>
            <w:tcW w:w="356" w:type="dxa"/>
          </w:tcPr>
          <w:p w14:paraId="7064F43D" w14:textId="77777777" w:rsidR="00FF66BD" w:rsidRPr="00D37636" w:rsidRDefault="00FF66BD">
            <w:pPr>
              <w:rPr>
                <w:rFonts w:ascii="Arial" w:hAnsi="Arial" w:cs="Arial"/>
                <w:sz w:val="20"/>
                <w:szCs w:val="20"/>
              </w:rPr>
            </w:pPr>
            <w:r w:rsidRPr="00D37636">
              <w:rPr>
                <w:rFonts w:ascii="Arial" w:hAnsi="Arial" w:cs="Arial"/>
                <w:sz w:val="20"/>
                <w:szCs w:val="20"/>
              </w:rPr>
              <w:t xml:space="preserve"> </w:t>
            </w:r>
          </w:p>
        </w:tc>
      </w:tr>
      <w:tr w:rsidR="00FF66BD" w:rsidRPr="00B21BCD" w14:paraId="241E73D8" w14:textId="77777777" w:rsidTr="007324AD">
        <w:trPr>
          <w:trHeight w:val="157"/>
        </w:trPr>
        <w:tc>
          <w:tcPr>
            <w:tcW w:w="1452" w:type="dxa"/>
          </w:tcPr>
          <w:p w14:paraId="0D671AD0" w14:textId="77777777" w:rsidR="00FF66BD" w:rsidRPr="00D37636" w:rsidRDefault="00FF66BD" w:rsidP="006250D3">
            <w:pPr>
              <w:pStyle w:val="Default"/>
              <w:rPr>
                <w:sz w:val="20"/>
                <w:szCs w:val="20"/>
              </w:rPr>
            </w:pPr>
            <w:r w:rsidRPr="00D37636">
              <w:rPr>
                <w:sz w:val="20"/>
                <w:szCs w:val="20"/>
              </w:rPr>
              <w:t xml:space="preserve"> D </w:t>
            </w:r>
          </w:p>
        </w:tc>
        <w:tc>
          <w:tcPr>
            <w:tcW w:w="2271" w:type="dxa"/>
          </w:tcPr>
          <w:p w14:paraId="477C4340" w14:textId="77777777" w:rsidR="00FF66BD" w:rsidRPr="00D37636" w:rsidRDefault="00FF66BD" w:rsidP="006250D3">
            <w:pPr>
              <w:pStyle w:val="Default"/>
              <w:rPr>
                <w:sz w:val="20"/>
                <w:szCs w:val="20"/>
              </w:rPr>
            </w:pPr>
            <w:r w:rsidRPr="00D37636">
              <w:rPr>
                <w:sz w:val="20"/>
                <w:szCs w:val="20"/>
              </w:rPr>
              <w:t xml:space="preserve"> 1.000 </w:t>
            </w:r>
          </w:p>
        </w:tc>
        <w:tc>
          <w:tcPr>
            <w:tcW w:w="356" w:type="dxa"/>
          </w:tcPr>
          <w:p w14:paraId="052CD61B" w14:textId="77777777" w:rsidR="00FF66BD" w:rsidRPr="00D37636" w:rsidRDefault="00FF66BD">
            <w:pPr>
              <w:rPr>
                <w:rFonts w:ascii="Arial" w:hAnsi="Arial" w:cs="Arial"/>
                <w:sz w:val="20"/>
                <w:szCs w:val="20"/>
              </w:rPr>
            </w:pPr>
            <w:r w:rsidRPr="00D37636">
              <w:rPr>
                <w:rFonts w:ascii="Arial" w:hAnsi="Arial" w:cs="Arial"/>
                <w:sz w:val="20"/>
                <w:szCs w:val="20"/>
              </w:rPr>
              <w:t xml:space="preserve"> </w:t>
            </w:r>
          </w:p>
        </w:tc>
      </w:tr>
      <w:tr w:rsidR="00FF66BD" w:rsidRPr="00B21BCD" w14:paraId="4416F5CD" w14:textId="77777777" w:rsidTr="007324AD">
        <w:trPr>
          <w:trHeight w:val="155"/>
        </w:trPr>
        <w:tc>
          <w:tcPr>
            <w:tcW w:w="1452" w:type="dxa"/>
          </w:tcPr>
          <w:p w14:paraId="3F4EFB7D" w14:textId="77777777" w:rsidR="00FF66BD" w:rsidRPr="00D37636" w:rsidRDefault="00FF66BD" w:rsidP="006250D3">
            <w:pPr>
              <w:pStyle w:val="Default"/>
              <w:rPr>
                <w:sz w:val="20"/>
                <w:szCs w:val="20"/>
              </w:rPr>
            </w:pPr>
            <w:r w:rsidRPr="00D37636">
              <w:rPr>
                <w:sz w:val="20"/>
                <w:szCs w:val="20"/>
              </w:rPr>
              <w:t xml:space="preserve"> D- </w:t>
            </w:r>
          </w:p>
        </w:tc>
        <w:tc>
          <w:tcPr>
            <w:tcW w:w="2271" w:type="dxa"/>
          </w:tcPr>
          <w:p w14:paraId="5412B1F7" w14:textId="77777777" w:rsidR="00FF66BD" w:rsidRPr="00D37636" w:rsidRDefault="00FF66BD" w:rsidP="006250D3">
            <w:pPr>
              <w:pStyle w:val="Default"/>
              <w:rPr>
                <w:sz w:val="20"/>
                <w:szCs w:val="20"/>
              </w:rPr>
            </w:pPr>
            <w:r w:rsidRPr="00D37636">
              <w:rPr>
                <w:sz w:val="20"/>
                <w:szCs w:val="20"/>
              </w:rPr>
              <w:t xml:space="preserve"> 0.667 </w:t>
            </w:r>
          </w:p>
        </w:tc>
        <w:tc>
          <w:tcPr>
            <w:tcW w:w="356" w:type="dxa"/>
          </w:tcPr>
          <w:p w14:paraId="6C423C7A" w14:textId="77777777" w:rsidR="00FF66BD" w:rsidRPr="00D37636" w:rsidRDefault="00FF66BD">
            <w:pPr>
              <w:rPr>
                <w:rFonts w:ascii="Arial" w:hAnsi="Arial" w:cs="Arial"/>
                <w:sz w:val="20"/>
                <w:szCs w:val="20"/>
              </w:rPr>
            </w:pPr>
            <w:r w:rsidRPr="00D37636">
              <w:rPr>
                <w:rFonts w:ascii="Arial" w:hAnsi="Arial" w:cs="Arial"/>
                <w:sz w:val="20"/>
                <w:szCs w:val="20"/>
              </w:rPr>
              <w:t xml:space="preserve"> </w:t>
            </w:r>
          </w:p>
        </w:tc>
      </w:tr>
      <w:tr w:rsidR="00FF66BD" w:rsidRPr="00B21BCD" w14:paraId="49E15D03" w14:textId="77777777" w:rsidTr="007324AD">
        <w:trPr>
          <w:trHeight w:val="219"/>
        </w:trPr>
        <w:tc>
          <w:tcPr>
            <w:tcW w:w="1452" w:type="dxa"/>
          </w:tcPr>
          <w:p w14:paraId="3FE09F73" w14:textId="77777777" w:rsidR="00FF66BD" w:rsidRPr="00D37636" w:rsidRDefault="00FF66BD" w:rsidP="006250D3">
            <w:pPr>
              <w:pStyle w:val="Default"/>
              <w:rPr>
                <w:sz w:val="20"/>
                <w:szCs w:val="20"/>
              </w:rPr>
            </w:pPr>
            <w:r w:rsidRPr="00D37636">
              <w:rPr>
                <w:sz w:val="20"/>
                <w:szCs w:val="20"/>
              </w:rPr>
              <w:t xml:space="preserve"> F </w:t>
            </w:r>
          </w:p>
        </w:tc>
        <w:tc>
          <w:tcPr>
            <w:tcW w:w="2271" w:type="dxa"/>
          </w:tcPr>
          <w:p w14:paraId="2751E0C9" w14:textId="77777777" w:rsidR="00FF66BD" w:rsidRPr="00D37636" w:rsidRDefault="00FF66BD" w:rsidP="006250D3">
            <w:pPr>
              <w:pStyle w:val="Default"/>
              <w:rPr>
                <w:sz w:val="20"/>
                <w:szCs w:val="20"/>
              </w:rPr>
            </w:pPr>
            <w:r w:rsidRPr="00D37636">
              <w:rPr>
                <w:sz w:val="20"/>
                <w:szCs w:val="20"/>
              </w:rPr>
              <w:t xml:space="preserve"> 0.000 </w:t>
            </w:r>
          </w:p>
        </w:tc>
        <w:tc>
          <w:tcPr>
            <w:tcW w:w="356" w:type="dxa"/>
          </w:tcPr>
          <w:p w14:paraId="0B2948FA" w14:textId="77777777" w:rsidR="00FF66BD" w:rsidRPr="00D37636" w:rsidRDefault="00FF66BD">
            <w:pPr>
              <w:rPr>
                <w:rFonts w:ascii="Arial" w:hAnsi="Arial" w:cs="Arial"/>
                <w:sz w:val="20"/>
                <w:szCs w:val="20"/>
              </w:rPr>
            </w:pPr>
            <w:r w:rsidRPr="00D37636">
              <w:rPr>
                <w:rFonts w:ascii="Arial" w:hAnsi="Arial" w:cs="Arial"/>
                <w:sz w:val="20"/>
                <w:szCs w:val="20"/>
              </w:rPr>
              <w:t xml:space="preserve"> </w:t>
            </w:r>
          </w:p>
        </w:tc>
      </w:tr>
    </w:tbl>
    <w:p w14:paraId="65BA0CC9" w14:textId="77777777" w:rsidR="00FF66BD" w:rsidRPr="00D37636" w:rsidRDefault="00FF66BD" w:rsidP="00D37636">
      <w:pPr>
        <w:pStyle w:val="ListParagraph"/>
        <w:jc w:val="both"/>
        <w:rPr>
          <w:rFonts w:ascii="Arial" w:hAnsi="Arial" w:cs="Arial"/>
          <w:sz w:val="20"/>
          <w:szCs w:val="20"/>
        </w:rPr>
      </w:pPr>
    </w:p>
    <w:p w14:paraId="2D896CE9" w14:textId="77777777" w:rsidR="00FF66BD" w:rsidRPr="00D37636" w:rsidRDefault="00FF66BD" w:rsidP="00FF66BD">
      <w:pPr>
        <w:pStyle w:val="Default"/>
        <w:numPr>
          <w:ilvl w:val="0"/>
          <w:numId w:val="6"/>
        </w:numPr>
        <w:jc w:val="both"/>
        <w:rPr>
          <w:color w:val="auto"/>
          <w:sz w:val="20"/>
          <w:szCs w:val="20"/>
        </w:rPr>
      </w:pPr>
      <w:r w:rsidRPr="00D37636">
        <w:rPr>
          <w:color w:val="auto"/>
          <w:sz w:val="20"/>
          <w:szCs w:val="20"/>
        </w:rPr>
        <w:t xml:space="preserve">Note that this table is intended to be illustrative and may not match a particular academic institution’s grading and/or point scale. For instance, some academic institutions award grades of “A+” for exceptional performance and translate this grade to a value of 4.33 on the point scale. </w:t>
      </w:r>
    </w:p>
    <w:p w14:paraId="0C240415" w14:textId="77777777" w:rsidR="00FF66BD" w:rsidRPr="00D37636" w:rsidRDefault="00FF66BD" w:rsidP="00D37636">
      <w:pPr>
        <w:pStyle w:val="Default"/>
        <w:ind w:left="720"/>
        <w:jc w:val="both"/>
        <w:rPr>
          <w:color w:val="auto"/>
          <w:sz w:val="20"/>
          <w:szCs w:val="20"/>
        </w:rPr>
      </w:pPr>
    </w:p>
    <w:p w14:paraId="5CBD6082" w14:textId="77777777" w:rsidR="00FF66BD" w:rsidRPr="00D37636" w:rsidRDefault="00FF66BD" w:rsidP="00FF66BD">
      <w:pPr>
        <w:pStyle w:val="ListParagraph"/>
        <w:numPr>
          <w:ilvl w:val="0"/>
          <w:numId w:val="6"/>
        </w:numPr>
        <w:jc w:val="both"/>
        <w:rPr>
          <w:rFonts w:ascii="Arial" w:hAnsi="Arial" w:cs="Arial"/>
          <w:sz w:val="20"/>
          <w:szCs w:val="20"/>
        </w:rPr>
      </w:pPr>
      <w:r w:rsidRPr="00D37636">
        <w:rPr>
          <w:rFonts w:ascii="Arial" w:hAnsi="Arial" w:cs="Arial"/>
          <w:sz w:val="20"/>
          <w:szCs w:val="20"/>
        </w:rPr>
        <w:t xml:space="preserve">To calculate a grade point average (GPA) for </w:t>
      </w:r>
      <w:proofErr w:type="gramStart"/>
      <w:r w:rsidRPr="00D37636">
        <w:rPr>
          <w:rFonts w:ascii="Arial" w:hAnsi="Arial" w:cs="Arial"/>
          <w:sz w:val="20"/>
          <w:szCs w:val="20"/>
        </w:rPr>
        <w:t>a number of</w:t>
      </w:r>
      <w:proofErr w:type="gramEnd"/>
      <w:r w:rsidRPr="00D37636">
        <w:rPr>
          <w:rFonts w:ascii="Arial" w:hAnsi="Arial" w:cs="Arial"/>
          <w:sz w:val="20"/>
          <w:szCs w:val="20"/>
        </w:rPr>
        <w:t xml:space="preserve"> courses, the number of points on the point scale achieved in each course is multiplied by the number of credits assigned to that </w:t>
      </w:r>
      <w:proofErr w:type="gramStart"/>
      <w:r w:rsidRPr="00D37636">
        <w:rPr>
          <w:rFonts w:ascii="Arial" w:hAnsi="Arial" w:cs="Arial"/>
          <w:sz w:val="20"/>
          <w:szCs w:val="20"/>
        </w:rPr>
        <w:t>particular course</w:t>
      </w:r>
      <w:proofErr w:type="gramEnd"/>
      <w:r w:rsidRPr="00D37636">
        <w:rPr>
          <w:rFonts w:ascii="Arial" w:hAnsi="Arial" w:cs="Arial"/>
          <w:sz w:val="20"/>
          <w:szCs w:val="20"/>
        </w:rPr>
        <w:t>. The GPA is then calculated by adding the product of “</w:t>
      </w:r>
      <w:r w:rsidR="00DF759F" w:rsidRPr="00D37636">
        <w:rPr>
          <w:rFonts w:ascii="Arial" w:hAnsi="Arial" w:cs="Arial"/>
          <w:sz w:val="20"/>
          <w:szCs w:val="20"/>
        </w:rPr>
        <w:t>point’s</w:t>
      </w:r>
      <w:r w:rsidRPr="00D37636">
        <w:rPr>
          <w:rFonts w:ascii="Arial" w:hAnsi="Arial" w:cs="Arial"/>
          <w:sz w:val="20"/>
          <w:szCs w:val="20"/>
        </w:rPr>
        <w:t xml:space="preserve"> × credits” for each course and dividing by the total number of credits for those courses. The example below shows the calculation of a GPA based on five individual course grades. </w:t>
      </w:r>
    </w:p>
    <w:tbl>
      <w:tblPr>
        <w:tblW w:w="0" w:type="auto"/>
        <w:tblInd w:w="605"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85"/>
        <w:gridCol w:w="810"/>
        <w:gridCol w:w="990"/>
        <w:gridCol w:w="1080"/>
        <w:gridCol w:w="1710"/>
        <w:gridCol w:w="1622"/>
        <w:gridCol w:w="360"/>
      </w:tblGrid>
      <w:tr w:rsidR="00FF66BD" w:rsidRPr="00B21BCD" w14:paraId="21CCF1EF" w14:textId="77777777" w:rsidTr="006250D3">
        <w:trPr>
          <w:trHeight w:val="109"/>
        </w:trPr>
        <w:tc>
          <w:tcPr>
            <w:tcW w:w="1985" w:type="dxa"/>
            <w:tcBorders>
              <w:top w:val="single" w:sz="4" w:space="0" w:color="auto"/>
              <w:left w:val="single" w:sz="4" w:space="0" w:color="auto"/>
              <w:bottom w:val="single" w:sz="6" w:space="0" w:color="auto"/>
              <w:right w:val="single" w:sz="6" w:space="0" w:color="auto"/>
            </w:tcBorders>
          </w:tcPr>
          <w:p w14:paraId="682C54FC" w14:textId="77777777" w:rsidR="00FF66BD" w:rsidRPr="00D37636" w:rsidRDefault="00FF66BD" w:rsidP="006250D3">
            <w:pPr>
              <w:pStyle w:val="Default"/>
              <w:rPr>
                <w:sz w:val="20"/>
                <w:szCs w:val="20"/>
              </w:rPr>
            </w:pPr>
            <w:r w:rsidRPr="00D37636">
              <w:rPr>
                <w:b/>
                <w:bCs/>
                <w:sz w:val="20"/>
                <w:szCs w:val="20"/>
              </w:rPr>
              <w:t xml:space="preserve">Course </w:t>
            </w:r>
          </w:p>
        </w:tc>
        <w:tc>
          <w:tcPr>
            <w:tcW w:w="810" w:type="dxa"/>
            <w:tcBorders>
              <w:top w:val="single" w:sz="4" w:space="0" w:color="auto"/>
              <w:left w:val="single" w:sz="6" w:space="0" w:color="auto"/>
              <w:bottom w:val="single" w:sz="6" w:space="0" w:color="auto"/>
              <w:right w:val="single" w:sz="6" w:space="0" w:color="auto"/>
            </w:tcBorders>
          </w:tcPr>
          <w:p w14:paraId="07C527C2" w14:textId="77777777" w:rsidR="00FF66BD" w:rsidRPr="00D37636" w:rsidRDefault="00FF66BD" w:rsidP="006250D3">
            <w:pPr>
              <w:pStyle w:val="Default"/>
              <w:rPr>
                <w:sz w:val="20"/>
                <w:szCs w:val="20"/>
              </w:rPr>
            </w:pPr>
            <w:r w:rsidRPr="00D37636">
              <w:rPr>
                <w:b/>
                <w:bCs/>
                <w:sz w:val="20"/>
                <w:szCs w:val="20"/>
              </w:rPr>
              <w:t>Grade</w:t>
            </w:r>
          </w:p>
        </w:tc>
        <w:tc>
          <w:tcPr>
            <w:tcW w:w="990" w:type="dxa"/>
            <w:tcBorders>
              <w:top w:val="single" w:sz="4" w:space="0" w:color="auto"/>
              <w:left w:val="single" w:sz="6" w:space="0" w:color="auto"/>
              <w:bottom w:val="single" w:sz="6" w:space="0" w:color="auto"/>
              <w:right w:val="single" w:sz="6" w:space="0" w:color="auto"/>
            </w:tcBorders>
          </w:tcPr>
          <w:p w14:paraId="3192F9A5" w14:textId="77777777" w:rsidR="00FF66BD" w:rsidRPr="00D37636" w:rsidRDefault="00FF66BD" w:rsidP="006250D3">
            <w:pPr>
              <w:pStyle w:val="Default"/>
              <w:jc w:val="center"/>
              <w:rPr>
                <w:sz w:val="20"/>
                <w:szCs w:val="20"/>
              </w:rPr>
            </w:pPr>
            <w:r w:rsidRPr="00D37636">
              <w:rPr>
                <w:b/>
                <w:bCs/>
                <w:sz w:val="20"/>
                <w:szCs w:val="20"/>
              </w:rPr>
              <w:t>Points</w:t>
            </w:r>
          </w:p>
        </w:tc>
        <w:tc>
          <w:tcPr>
            <w:tcW w:w="1080" w:type="dxa"/>
            <w:tcBorders>
              <w:top w:val="single" w:sz="4" w:space="0" w:color="auto"/>
              <w:left w:val="single" w:sz="6" w:space="0" w:color="auto"/>
              <w:bottom w:val="single" w:sz="6" w:space="0" w:color="auto"/>
              <w:right w:val="single" w:sz="6" w:space="0" w:color="auto"/>
            </w:tcBorders>
          </w:tcPr>
          <w:p w14:paraId="6E80034F" w14:textId="77777777" w:rsidR="00FF66BD" w:rsidRPr="00D37636" w:rsidRDefault="00FF66BD" w:rsidP="006250D3">
            <w:pPr>
              <w:pStyle w:val="Default"/>
              <w:rPr>
                <w:sz w:val="20"/>
                <w:szCs w:val="20"/>
              </w:rPr>
            </w:pPr>
            <w:r w:rsidRPr="00D37636">
              <w:rPr>
                <w:sz w:val="20"/>
                <w:szCs w:val="20"/>
              </w:rPr>
              <w:t xml:space="preserve"> </w:t>
            </w:r>
            <w:r w:rsidRPr="00D37636">
              <w:rPr>
                <w:b/>
                <w:bCs/>
                <w:sz w:val="20"/>
                <w:szCs w:val="20"/>
              </w:rPr>
              <w:t xml:space="preserve">Credits </w:t>
            </w:r>
          </w:p>
        </w:tc>
        <w:tc>
          <w:tcPr>
            <w:tcW w:w="1710" w:type="dxa"/>
            <w:tcBorders>
              <w:top w:val="single" w:sz="4" w:space="0" w:color="auto"/>
              <w:left w:val="single" w:sz="6" w:space="0" w:color="auto"/>
              <w:bottom w:val="single" w:sz="6" w:space="0" w:color="auto"/>
              <w:right w:val="single" w:sz="6" w:space="0" w:color="auto"/>
            </w:tcBorders>
          </w:tcPr>
          <w:p w14:paraId="400BDBC5" w14:textId="77777777" w:rsidR="00FF66BD" w:rsidRPr="00D37636" w:rsidRDefault="00FF66BD" w:rsidP="006250D3">
            <w:pPr>
              <w:pStyle w:val="Default"/>
              <w:rPr>
                <w:sz w:val="20"/>
                <w:szCs w:val="20"/>
              </w:rPr>
            </w:pPr>
            <w:r w:rsidRPr="00D37636">
              <w:rPr>
                <w:sz w:val="20"/>
                <w:szCs w:val="20"/>
              </w:rPr>
              <w:t xml:space="preserve"> </w:t>
            </w:r>
            <w:r w:rsidRPr="00D37636">
              <w:rPr>
                <w:b/>
                <w:bCs/>
                <w:sz w:val="20"/>
                <w:szCs w:val="20"/>
              </w:rPr>
              <w:t xml:space="preserve">Points × Credits </w:t>
            </w:r>
          </w:p>
        </w:tc>
        <w:tc>
          <w:tcPr>
            <w:tcW w:w="1622" w:type="dxa"/>
            <w:tcBorders>
              <w:top w:val="single" w:sz="4" w:space="0" w:color="auto"/>
              <w:left w:val="single" w:sz="6" w:space="0" w:color="auto"/>
              <w:bottom w:val="single" w:sz="6" w:space="0" w:color="auto"/>
              <w:right w:val="single" w:sz="4" w:space="0" w:color="auto"/>
            </w:tcBorders>
          </w:tcPr>
          <w:p w14:paraId="21FAE7F7" w14:textId="77777777" w:rsidR="00FF66BD" w:rsidRPr="00D37636" w:rsidRDefault="00FF66BD" w:rsidP="006250D3">
            <w:pPr>
              <w:pStyle w:val="Default"/>
              <w:rPr>
                <w:sz w:val="20"/>
                <w:szCs w:val="20"/>
              </w:rPr>
            </w:pPr>
            <w:r w:rsidRPr="00D37636">
              <w:rPr>
                <w:sz w:val="20"/>
                <w:szCs w:val="20"/>
              </w:rPr>
              <w:t xml:space="preserve"> </w:t>
            </w:r>
            <w:r w:rsidRPr="00D37636">
              <w:rPr>
                <w:b/>
                <w:bCs/>
                <w:sz w:val="20"/>
                <w:szCs w:val="20"/>
              </w:rPr>
              <w:t xml:space="preserve">GPA </w:t>
            </w:r>
          </w:p>
        </w:tc>
        <w:tc>
          <w:tcPr>
            <w:tcW w:w="360" w:type="dxa"/>
          </w:tcPr>
          <w:p w14:paraId="31A1A894" w14:textId="77777777" w:rsidR="00FF66BD" w:rsidRPr="00D37636" w:rsidRDefault="00FF66BD">
            <w:pPr>
              <w:rPr>
                <w:rFonts w:ascii="Arial" w:hAnsi="Arial" w:cs="Arial"/>
                <w:color w:val="000000"/>
                <w:sz w:val="20"/>
                <w:szCs w:val="20"/>
              </w:rPr>
            </w:pPr>
            <w:r w:rsidRPr="00D37636">
              <w:rPr>
                <w:rFonts w:ascii="Arial" w:hAnsi="Arial" w:cs="Arial"/>
                <w:color w:val="000000"/>
                <w:sz w:val="20"/>
                <w:szCs w:val="20"/>
              </w:rPr>
              <w:t xml:space="preserve"> </w:t>
            </w:r>
          </w:p>
        </w:tc>
      </w:tr>
      <w:tr w:rsidR="00FF66BD" w:rsidRPr="00B21BCD" w14:paraId="375BE4F7" w14:textId="77777777" w:rsidTr="006250D3">
        <w:trPr>
          <w:trHeight w:val="108"/>
        </w:trPr>
        <w:tc>
          <w:tcPr>
            <w:tcW w:w="1985" w:type="dxa"/>
            <w:tcBorders>
              <w:top w:val="single" w:sz="6" w:space="0" w:color="auto"/>
              <w:left w:val="single" w:sz="4" w:space="0" w:color="auto"/>
              <w:bottom w:val="single" w:sz="6" w:space="0" w:color="auto"/>
              <w:right w:val="single" w:sz="6" w:space="0" w:color="auto"/>
            </w:tcBorders>
          </w:tcPr>
          <w:p w14:paraId="4E6A3231" w14:textId="77777777" w:rsidR="00FF66BD" w:rsidRPr="00D37636" w:rsidRDefault="00FF66BD" w:rsidP="006250D3">
            <w:pPr>
              <w:pStyle w:val="Default"/>
              <w:rPr>
                <w:sz w:val="20"/>
                <w:szCs w:val="20"/>
              </w:rPr>
            </w:pPr>
            <w:r w:rsidRPr="00D37636">
              <w:rPr>
                <w:sz w:val="20"/>
                <w:szCs w:val="20"/>
              </w:rPr>
              <w:t xml:space="preserve"> Thermodynamics I </w:t>
            </w:r>
          </w:p>
        </w:tc>
        <w:tc>
          <w:tcPr>
            <w:tcW w:w="810" w:type="dxa"/>
            <w:tcBorders>
              <w:top w:val="single" w:sz="6" w:space="0" w:color="auto"/>
              <w:left w:val="single" w:sz="6" w:space="0" w:color="auto"/>
              <w:bottom w:val="single" w:sz="6" w:space="0" w:color="auto"/>
              <w:right w:val="single" w:sz="6" w:space="0" w:color="auto"/>
            </w:tcBorders>
          </w:tcPr>
          <w:p w14:paraId="5B146FDE" w14:textId="77777777" w:rsidR="00FF66BD" w:rsidRPr="00D37636" w:rsidRDefault="00FF66BD" w:rsidP="006250D3">
            <w:pPr>
              <w:pStyle w:val="Default"/>
              <w:rPr>
                <w:sz w:val="20"/>
                <w:szCs w:val="20"/>
              </w:rPr>
            </w:pPr>
            <w:r w:rsidRPr="00D37636">
              <w:rPr>
                <w:sz w:val="20"/>
                <w:szCs w:val="20"/>
              </w:rPr>
              <w:t>A-</w:t>
            </w:r>
          </w:p>
        </w:tc>
        <w:tc>
          <w:tcPr>
            <w:tcW w:w="990" w:type="dxa"/>
            <w:tcBorders>
              <w:top w:val="single" w:sz="6" w:space="0" w:color="auto"/>
              <w:left w:val="single" w:sz="6" w:space="0" w:color="auto"/>
              <w:bottom w:val="single" w:sz="6" w:space="0" w:color="auto"/>
              <w:right w:val="single" w:sz="6" w:space="0" w:color="auto"/>
            </w:tcBorders>
          </w:tcPr>
          <w:p w14:paraId="3A149155" w14:textId="77777777" w:rsidR="00FF66BD" w:rsidRPr="00D37636" w:rsidRDefault="00FF66BD" w:rsidP="006250D3">
            <w:pPr>
              <w:pStyle w:val="Default"/>
              <w:jc w:val="center"/>
              <w:rPr>
                <w:sz w:val="20"/>
                <w:szCs w:val="20"/>
              </w:rPr>
            </w:pPr>
            <w:r w:rsidRPr="00D37636">
              <w:rPr>
                <w:sz w:val="20"/>
                <w:szCs w:val="20"/>
              </w:rPr>
              <w:t>3.667</w:t>
            </w:r>
          </w:p>
        </w:tc>
        <w:tc>
          <w:tcPr>
            <w:tcW w:w="1080" w:type="dxa"/>
            <w:tcBorders>
              <w:top w:val="single" w:sz="6" w:space="0" w:color="auto"/>
              <w:left w:val="single" w:sz="6" w:space="0" w:color="auto"/>
              <w:bottom w:val="single" w:sz="6" w:space="0" w:color="auto"/>
              <w:right w:val="single" w:sz="6" w:space="0" w:color="auto"/>
            </w:tcBorders>
          </w:tcPr>
          <w:p w14:paraId="4218431E" w14:textId="77777777" w:rsidR="00FF66BD" w:rsidRPr="00D37636" w:rsidRDefault="00FF66BD" w:rsidP="006250D3">
            <w:pPr>
              <w:pStyle w:val="Default"/>
              <w:jc w:val="center"/>
              <w:rPr>
                <w:sz w:val="20"/>
                <w:szCs w:val="20"/>
              </w:rPr>
            </w:pPr>
            <w:r w:rsidRPr="00D37636">
              <w:rPr>
                <w:sz w:val="20"/>
                <w:szCs w:val="20"/>
              </w:rPr>
              <w:t>3</w:t>
            </w:r>
          </w:p>
        </w:tc>
        <w:tc>
          <w:tcPr>
            <w:tcW w:w="1710" w:type="dxa"/>
            <w:tcBorders>
              <w:top w:val="single" w:sz="6" w:space="0" w:color="auto"/>
              <w:left w:val="single" w:sz="6" w:space="0" w:color="auto"/>
              <w:bottom w:val="single" w:sz="6" w:space="0" w:color="auto"/>
              <w:right w:val="single" w:sz="4" w:space="0" w:color="auto"/>
            </w:tcBorders>
          </w:tcPr>
          <w:p w14:paraId="37D3BC8D" w14:textId="77777777" w:rsidR="00FF66BD" w:rsidRPr="00D37636" w:rsidRDefault="00FF66BD" w:rsidP="006250D3">
            <w:pPr>
              <w:pStyle w:val="Default"/>
              <w:jc w:val="center"/>
              <w:rPr>
                <w:sz w:val="20"/>
                <w:szCs w:val="20"/>
              </w:rPr>
            </w:pPr>
            <w:r w:rsidRPr="00D37636">
              <w:rPr>
                <w:sz w:val="20"/>
                <w:szCs w:val="20"/>
              </w:rPr>
              <w:t>11.000</w:t>
            </w:r>
          </w:p>
        </w:tc>
        <w:tc>
          <w:tcPr>
            <w:tcW w:w="1622" w:type="dxa"/>
            <w:vMerge w:val="restart"/>
            <w:tcBorders>
              <w:top w:val="single" w:sz="6" w:space="0" w:color="auto"/>
              <w:left w:val="single" w:sz="6" w:space="0" w:color="auto"/>
              <w:right w:val="single" w:sz="4" w:space="0" w:color="auto"/>
            </w:tcBorders>
            <w:shd w:val="clear" w:color="auto" w:fill="BFBFBF"/>
          </w:tcPr>
          <w:p w14:paraId="50F54137" w14:textId="77777777" w:rsidR="00FF66BD" w:rsidRPr="00D37636" w:rsidRDefault="00FF66BD" w:rsidP="006250D3">
            <w:pPr>
              <w:pStyle w:val="Default"/>
              <w:rPr>
                <w:sz w:val="20"/>
                <w:szCs w:val="20"/>
              </w:rPr>
            </w:pPr>
          </w:p>
        </w:tc>
        <w:tc>
          <w:tcPr>
            <w:tcW w:w="360" w:type="dxa"/>
          </w:tcPr>
          <w:p w14:paraId="6BD3CC92" w14:textId="77777777" w:rsidR="00FF66BD" w:rsidRPr="00D37636" w:rsidRDefault="00FF66BD">
            <w:pPr>
              <w:rPr>
                <w:rFonts w:ascii="Arial" w:hAnsi="Arial" w:cs="Arial"/>
                <w:color w:val="000000"/>
                <w:sz w:val="20"/>
                <w:szCs w:val="20"/>
              </w:rPr>
            </w:pPr>
            <w:r w:rsidRPr="00D37636">
              <w:rPr>
                <w:rFonts w:ascii="Arial" w:hAnsi="Arial" w:cs="Arial"/>
                <w:color w:val="000000"/>
                <w:sz w:val="20"/>
                <w:szCs w:val="20"/>
              </w:rPr>
              <w:t xml:space="preserve"> </w:t>
            </w:r>
          </w:p>
        </w:tc>
      </w:tr>
      <w:tr w:rsidR="00FF66BD" w:rsidRPr="00B21BCD" w14:paraId="5EA1EE95" w14:textId="77777777" w:rsidTr="006250D3">
        <w:trPr>
          <w:trHeight w:val="108"/>
        </w:trPr>
        <w:tc>
          <w:tcPr>
            <w:tcW w:w="1985" w:type="dxa"/>
            <w:tcBorders>
              <w:top w:val="single" w:sz="6" w:space="0" w:color="auto"/>
              <w:left w:val="single" w:sz="4" w:space="0" w:color="auto"/>
              <w:bottom w:val="single" w:sz="6" w:space="0" w:color="auto"/>
              <w:right w:val="single" w:sz="6" w:space="0" w:color="auto"/>
            </w:tcBorders>
          </w:tcPr>
          <w:p w14:paraId="5B6BAF2C" w14:textId="77777777" w:rsidR="00FF66BD" w:rsidRPr="00D37636" w:rsidRDefault="00FF66BD" w:rsidP="006250D3">
            <w:pPr>
              <w:pStyle w:val="Default"/>
              <w:rPr>
                <w:sz w:val="20"/>
                <w:szCs w:val="20"/>
              </w:rPr>
            </w:pPr>
            <w:r w:rsidRPr="00D37636">
              <w:rPr>
                <w:sz w:val="20"/>
                <w:szCs w:val="20"/>
              </w:rPr>
              <w:t xml:space="preserve"> Heat Transfer </w:t>
            </w:r>
          </w:p>
        </w:tc>
        <w:tc>
          <w:tcPr>
            <w:tcW w:w="810" w:type="dxa"/>
            <w:tcBorders>
              <w:top w:val="single" w:sz="6" w:space="0" w:color="auto"/>
              <w:left w:val="single" w:sz="6" w:space="0" w:color="auto"/>
              <w:bottom w:val="single" w:sz="6" w:space="0" w:color="auto"/>
              <w:right w:val="single" w:sz="6" w:space="0" w:color="auto"/>
            </w:tcBorders>
          </w:tcPr>
          <w:p w14:paraId="4D2C03D9" w14:textId="77777777" w:rsidR="00FF66BD" w:rsidRPr="00D37636" w:rsidRDefault="00FF66BD" w:rsidP="006250D3">
            <w:pPr>
              <w:pStyle w:val="Default"/>
              <w:rPr>
                <w:sz w:val="20"/>
                <w:szCs w:val="20"/>
              </w:rPr>
            </w:pPr>
            <w:r w:rsidRPr="00D37636">
              <w:rPr>
                <w:sz w:val="20"/>
                <w:szCs w:val="20"/>
              </w:rPr>
              <w:t>A</w:t>
            </w:r>
          </w:p>
        </w:tc>
        <w:tc>
          <w:tcPr>
            <w:tcW w:w="990" w:type="dxa"/>
            <w:tcBorders>
              <w:top w:val="single" w:sz="6" w:space="0" w:color="auto"/>
              <w:left w:val="single" w:sz="6" w:space="0" w:color="auto"/>
              <w:bottom w:val="single" w:sz="6" w:space="0" w:color="auto"/>
              <w:right w:val="single" w:sz="6" w:space="0" w:color="auto"/>
            </w:tcBorders>
          </w:tcPr>
          <w:p w14:paraId="2C9C8602" w14:textId="77777777" w:rsidR="00FF66BD" w:rsidRPr="00D37636" w:rsidRDefault="00FF66BD" w:rsidP="006250D3">
            <w:pPr>
              <w:pStyle w:val="Default"/>
              <w:jc w:val="center"/>
              <w:rPr>
                <w:sz w:val="20"/>
                <w:szCs w:val="20"/>
              </w:rPr>
            </w:pPr>
            <w:r w:rsidRPr="00D37636">
              <w:rPr>
                <w:sz w:val="20"/>
                <w:szCs w:val="20"/>
              </w:rPr>
              <w:t>4.000</w:t>
            </w:r>
          </w:p>
        </w:tc>
        <w:tc>
          <w:tcPr>
            <w:tcW w:w="1080" w:type="dxa"/>
            <w:tcBorders>
              <w:top w:val="single" w:sz="6" w:space="0" w:color="auto"/>
              <w:left w:val="single" w:sz="6" w:space="0" w:color="auto"/>
              <w:bottom w:val="single" w:sz="6" w:space="0" w:color="auto"/>
              <w:right w:val="single" w:sz="6" w:space="0" w:color="auto"/>
            </w:tcBorders>
          </w:tcPr>
          <w:p w14:paraId="0BCDBCF7" w14:textId="77777777" w:rsidR="00FF66BD" w:rsidRPr="00D37636" w:rsidRDefault="00FF66BD" w:rsidP="006250D3">
            <w:pPr>
              <w:pStyle w:val="Default"/>
              <w:jc w:val="center"/>
              <w:rPr>
                <w:sz w:val="20"/>
                <w:szCs w:val="20"/>
              </w:rPr>
            </w:pPr>
            <w:r w:rsidRPr="00D37636">
              <w:rPr>
                <w:sz w:val="20"/>
                <w:szCs w:val="20"/>
              </w:rPr>
              <w:t>3</w:t>
            </w:r>
          </w:p>
        </w:tc>
        <w:tc>
          <w:tcPr>
            <w:tcW w:w="1710" w:type="dxa"/>
            <w:tcBorders>
              <w:top w:val="single" w:sz="6" w:space="0" w:color="auto"/>
              <w:left w:val="single" w:sz="6" w:space="0" w:color="auto"/>
              <w:bottom w:val="single" w:sz="6" w:space="0" w:color="auto"/>
              <w:right w:val="single" w:sz="4" w:space="0" w:color="auto"/>
            </w:tcBorders>
          </w:tcPr>
          <w:p w14:paraId="6ED71915" w14:textId="77777777" w:rsidR="00FF66BD" w:rsidRPr="00D37636" w:rsidRDefault="00FF66BD" w:rsidP="006250D3">
            <w:pPr>
              <w:pStyle w:val="Default"/>
              <w:jc w:val="center"/>
              <w:rPr>
                <w:sz w:val="20"/>
                <w:szCs w:val="20"/>
              </w:rPr>
            </w:pPr>
            <w:r w:rsidRPr="00D37636">
              <w:rPr>
                <w:sz w:val="20"/>
                <w:szCs w:val="20"/>
              </w:rPr>
              <w:t>12.000</w:t>
            </w:r>
          </w:p>
        </w:tc>
        <w:tc>
          <w:tcPr>
            <w:tcW w:w="1622" w:type="dxa"/>
            <w:vMerge/>
            <w:tcBorders>
              <w:left w:val="single" w:sz="6" w:space="0" w:color="auto"/>
              <w:right w:val="single" w:sz="4" w:space="0" w:color="auto"/>
            </w:tcBorders>
            <w:shd w:val="clear" w:color="auto" w:fill="BFBFBF"/>
          </w:tcPr>
          <w:p w14:paraId="4CEA342A" w14:textId="77777777" w:rsidR="00FF66BD" w:rsidRPr="00D37636" w:rsidRDefault="00FF66BD" w:rsidP="006250D3">
            <w:pPr>
              <w:pStyle w:val="Default"/>
              <w:rPr>
                <w:sz w:val="20"/>
                <w:szCs w:val="20"/>
              </w:rPr>
            </w:pPr>
          </w:p>
        </w:tc>
        <w:tc>
          <w:tcPr>
            <w:tcW w:w="360" w:type="dxa"/>
          </w:tcPr>
          <w:p w14:paraId="4FDFFAB6" w14:textId="77777777" w:rsidR="00FF66BD" w:rsidRPr="00D37636" w:rsidRDefault="00FF66BD">
            <w:pPr>
              <w:rPr>
                <w:rFonts w:ascii="Arial" w:hAnsi="Arial" w:cs="Arial"/>
                <w:color w:val="000000"/>
                <w:sz w:val="20"/>
                <w:szCs w:val="20"/>
              </w:rPr>
            </w:pPr>
            <w:r w:rsidRPr="00D37636">
              <w:rPr>
                <w:rFonts w:ascii="Arial" w:hAnsi="Arial" w:cs="Arial"/>
                <w:color w:val="000000"/>
                <w:sz w:val="20"/>
                <w:szCs w:val="20"/>
              </w:rPr>
              <w:t xml:space="preserve"> </w:t>
            </w:r>
          </w:p>
        </w:tc>
      </w:tr>
      <w:tr w:rsidR="00FF66BD" w:rsidRPr="00B21BCD" w14:paraId="16E3429B" w14:textId="77777777" w:rsidTr="006250D3">
        <w:trPr>
          <w:trHeight w:val="108"/>
        </w:trPr>
        <w:tc>
          <w:tcPr>
            <w:tcW w:w="1985" w:type="dxa"/>
            <w:tcBorders>
              <w:top w:val="single" w:sz="6" w:space="0" w:color="auto"/>
              <w:left w:val="single" w:sz="4" w:space="0" w:color="auto"/>
              <w:bottom w:val="single" w:sz="6" w:space="0" w:color="auto"/>
              <w:right w:val="single" w:sz="6" w:space="0" w:color="auto"/>
            </w:tcBorders>
          </w:tcPr>
          <w:p w14:paraId="054ABB80" w14:textId="77777777" w:rsidR="00FF66BD" w:rsidRPr="00D37636" w:rsidRDefault="00FF66BD" w:rsidP="006250D3">
            <w:pPr>
              <w:pStyle w:val="Default"/>
              <w:rPr>
                <w:sz w:val="20"/>
                <w:szCs w:val="20"/>
              </w:rPr>
            </w:pPr>
            <w:r w:rsidRPr="00D37636">
              <w:rPr>
                <w:sz w:val="20"/>
                <w:szCs w:val="20"/>
              </w:rPr>
              <w:t xml:space="preserve"> Calculus III </w:t>
            </w:r>
          </w:p>
        </w:tc>
        <w:tc>
          <w:tcPr>
            <w:tcW w:w="810" w:type="dxa"/>
            <w:tcBorders>
              <w:top w:val="single" w:sz="6" w:space="0" w:color="auto"/>
              <w:left w:val="single" w:sz="6" w:space="0" w:color="auto"/>
              <w:bottom w:val="single" w:sz="6" w:space="0" w:color="auto"/>
              <w:right w:val="single" w:sz="6" w:space="0" w:color="auto"/>
            </w:tcBorders>
          </w:tcPr>
          <w:p w14:paraId="1F07CA29" w14:textId="77777777" w:rsidR="00FF66BD" w:rsidRPr="00D37636" w:rsidRDefault="00FF66BD" w:rsidP="006250D3">
            <w:pPr>
              <w:pStyle w:val="Default"/>
              <w:rPr>
                <w:sz w:val="20"/>
                <w:szCs w:val="20"/>
              </w:rPr>
            </w:pPr>
            <w:r w:rsidRPr="00D37636">
              <w:rPr>
                <w:sz w:val="20"/>
                <w:szCs w:val="20"/>
              </w:rPr>
              <w:t>B+</w:t>
            </w:r>
          </w:p>
        </w:tc>
        <w:tc>
          <w:tcPr>
            <w:tcW w:w="990" w:type="dxa"/>
            <w:tcBorders>
              <w:top w:val="single" w:sz="6" w:space="0" w:color="auto"/>
              <w:left w:val="single" w:sz="6" w:space="0" w:color="auto"/>
              <w:bottom w:val="single" w:sz="6" w:space="0" w:color="auto"/>
              <w:right w:val="single" w:sz="6" w:space="0" w:color="auto"/>
            </w:tcBorders>
          </w:tcPr>
          <w:p w14:paraId="08E34444" w14:textId="77777777" w:rsidR="00FF66BD" w:rsidRPr="00D37636" w:rsidRDefault="00FF66BD" w:rsidP="006250D3">
            <w:pPr>
              <w:pStyle w:val="Default"/>
              <w:jc w:val="center"/>
              <w:rPr>
                <w:sz w:val="20"/>
                <w:szCs w:val="20"/>
              </w:rPr>
            </w:pPr>
            <w:r w:rsidRPr="00D37636">
              <w:rPr>
                <w:sz w:val="20"/>
                <w:szCs w:val="20"/>
              </w:rPr>
              <w:t>3.333</w:t>
            </w:r>
          </w:p>
        </w:tc>
        <w:tc>
          <w:tcPr>
            <w:tcW w:w="1080" w:type="dxa"/>
            <w:tcBorders>
              <w:top w:val="single" w:sz="6" w:space="0" w:color="auto"/>
              <w:left w:val="single" w:sz="6" w:space="0" w:color="auto"/>
              <w:bottom w:val="single" w:sz="6" w:space="0" w:color="auto"/>
              <w:right w:val="single" w:sz="6" w:space="0" w:color="auto"/>
            </w:tcBorders>
          </w:tcPr>
          <w:p w14:paraId="11BE8F1E" w14:textId="77777777" w:rsidR="00FF66BD" w:rsidRPr="00D37636" w:rsidRDefault="00FF66BD" w:rsidP="006250D3">
            <w:pPr>
              <w:pStyle w:val="Default"/>
              <w:jc w:val="center"/>
              <w:rPr>
                <w:sz w:val="20"/>
                <w:szCs w:val="20"/>
              </w:rPr>
            </w:pPr>
            <w:r w:rsidRPr="00D37636">
              <w:rPr>
                <w:sz w:val="20"/>
                <w:szCs w:val="20"/>
              </w:rPr>
              <w:t>4</w:t>
            </w:r>
          </w:p>
        </w:tc>
        <w:tc>
          <w:tcPr>
            <w:tcW w:w="1710" w:type="dxa"/>
            <w:tcBorders>
              <w:top w:val="single" w:sz="6" w:space="0" w:color="auto"/>
              <w:left w:val="single" w:sz="6" w:space="0" w:color="auto"/>
              <w:bottom w:val="single" w:sz="6" w:space="0" w:color="auto"/>
              <w:right w:val="single" w:sz="4" w:space="0" w:color="auto"/>
            </w:tcBorders>
          </w:tcPr>
          <w:p w14:paraId="56851E08" w14:textId="77777777" w:rsidR="00FF66BD" w:rsidRPr="00D37636" w:rsidRDefault="00FF66BD" w:rsidP="006250D3">
            <w:pPr>
              <w:pStyle w:val="Default"/>
              <w:jc w:val="center"/>
              <w:rPr>
                <w:sz w:val="20"/>
                <w:szCs w:val="20"/>
              </w:rPr>
            </w:pPr>
            <w:r w:rsidRPr="00D37636">
              <w:rPr>
                <w:sz w:val="20"/>
                <w:szCs w:val="20"/>
              </w:rPr>
              <w:t>13.333</w:t>
            </w:r>
          </w:p>
        </w:tc>
        <w:tc>
          <w:tcPr>
            <w:tcW w:w="1622" w:type="dxa"/>
            <w:vMerge/>
            <w:tcBorders>
              <w:left w:val="single" w:sz="6" w:space="0" w:color="auto"/>
              <w:right w:val="single" w:sz="4" w:space="0" w:color="auto"/>
            </w:tcBorders>
            <w:shd w:val="clear" w:color="auto" w:fill="BFBFBF"/>
          </w:tcPr>
          <w:p w14:paraId="4BDDF238" w14:textId="77777777" w:rsidR="00FF66BD" w:rsidRPr="00D37636" w:rsidRDefault="00FF66BD" w:rsidP="006250D3">
            <w:pPr>
              <w:pStyle w:val="Default"/>
              <w:rPr>
                <w:sz w:val="20"/>
                <w:szCs w:val="20"/>
              </w:rPr>
            </w:pPr>
          </w:p>
        </w:tc>
        <w:tc>
          <w:tcPr>
            <w:tcW w:w="360" w:type="dxa"/>
          </w:tcPr>
          <w:p w14:paraId="1CA23BF7" w14:textId="77777777" w:rsidR="00FF66BD" w:rsidRPr="00D37636" w:rsidRDefault="00FF66BD">
            <w:pPr>
              <w:rPr>
                <w:rFonts w:ascii="Arial" w:hAnsi="Arial" w:cs="Arial"/>
                <w:color w:val="000000"/>
                <w:sz w:val="20"/>
                <w:szCs w:val="20"/>
              </w:rPr>
            </w:pPr>
            <w:r w:rsidRPr="00D37636">
              <w:rPr>
                <w:rFonts w:ascii="Arial" w:hAnsi="Arial" w:cs="Arial"/>
                <w:color w:val="000000"/>
                <w:sz w:val="20"/>
                <w:szCs w:val="20"/>
              </w:rPr>
              <w:t xml:space="preserve"> </w:t>
            </w:r>
          </w:p>
        </w:tc>
      </w:tr>
      <w:tr w:rsidR="00FF66BD" w:rsidRPr="00B21BCD" w14:paraId="4017B922" w14:textId="77777777" w:rsidTr="006250D3">
        <w:trPr>
          <w:trHeight w:val="108"/>
        </w:trPr>
        <w:tc>
          <w:tcPr>
            <w:tcW w:w="1985" w:type="dxa"/>
            <w:tcBorders>
              <w:top w:val="single" w:sz="6" w:space="0" w:color="auto"/>
              <w:left w:val="single" w:sz="4" w:space="0" w:color="auto"/>
              <w:bottom w:val="single" w:sz="6" w:space="0" w:color="auto"/>
              <w:right w:val="single" w:sz="6" w:space="0" w:color="auto"/>
            </w:tcBorders>
          </w:tcPr>
          <w:p w14:paraId="277EFFEA" w14:textId="77777777" w:rsidR="00FF66BD" w:rsidRPr="00D37636" w:rsidRDefault="00FF66BD" w:rsidP="006250D3">
            <w:pPr>
              <w:pStyle w:val="Default"/>
              <w:rPr>
                <w:sz w:val="20"/>
                <w:szCs w:val="20"/>
              </w:rPr>
            </w:pPr>
            <w:r w:rsidRPr="00D37636">
              <w:rPr>
                <w:sz w:val="20"/>
                <w:szCs w:val="20"/>
              </w:rPr>
              <w:t xml:space="preserve"> Classical Physics </w:t>
            </w:r>
          </w:p>
        </w:tc>
        <w:tc>
          <w:tcPr>
            <w:tcW w:w="810" w:type="dxa"/>
            <w:tcBorders>
              <w:top w:val="single" w:sz="6" w:space="0" w:color="auto"/>
              <w:left w:val="single" w:sz="6" w:space="0" w:color="auto"/>
              <w:bottom w:val="single" w:sz="6" w:space="0" w:color="auto"/>
              <w:right w:val="single" w:sz="6" w:space="0" w:color="auto"/>
            </w:tcBorders>
          </w:tcPr>
          <w:p w14:paraId="4E2C720C" w14:textId="77777777" w:rsidR="00FF66BD" w:rsidRPr="00D37636" w:rsidRDefault="00FF66BD" w:rsidP="006250D3">
            <w:pPr>
              <w:pStyle w:val="Default"/>
              <w:rPr>
                <w:sz w:val="20"/>
                <w:szCs w:val="20"/>
              </w:rPr>
            </w:pPr>
            <w:r w:rsidRPr="00D37636">
              <w:rPr>
                <w:sz w:val="20"/>
                <w:szCs w:val="20"/>
              </w:rPr>
              <w:t>A-</w:t>
            </w:r>
          </w:p>
        </w:tc>
        <w:tc>
          <w:tcPr>
            <w:tcW w:w="990" w:type="dxa"/>
            <w:tcBorders>
              <w:top w:val="single" w:sz="6" w:space="0" w:color="auto"/>
              <w:left w:val="single" w:sz="6" w:space="0" w:color="auto"/>
              <w:bottom w:val="single" w:sz="6" w:space="0" w:color="auto"/>
              <w:right w:val="single" w:sz="6" w:space="0" w:color="auto"/>
            </w:tcBorders>
          </w:tcPr>
          <w:p w14:paraId="1A201F7D" w14:textId="77777777" w:rsidR="00FF66BD" w:rsidRPr="00D37636" w:rsidRDefault="00FF66BD" w:rsidP="006250D3">
            <w:pPr>
              <w:pStyle w:val="Default"/>
              <w:jc w:val="center"/>
              <w:rPr>
                <w:sz w:val="20"/>
                <w:szCs w:val="20"/>
              </w:rPr>
            </w:pPr>
            <w:r w:rsidRPr="00D37636">
              <w:rPr>
                <w:sz w:val="20"/>
                <w:szCs w:val="20"/>
              </w:rPr>
              <w:t>3.667</w:t>
            </w:r>
          </w:p>
        </w:tc>
        <w:tc>
          <w:tcPr>
            <w:tcW w:w="1080" w:type="dxa"/>
            <w:tcBorders>
              <w:top w:val="single" w:sz="6" w:space="0" w:color="auto"/>
              <w:left w:val="single" w:sz="6" w:space="0" w:color="auto"/>
              <w:bottom w:val="single" w:sz="6" w:space="0" w:color="auto"/>
              <w:right w:val="single" w:sz="6" w:space="0" w:color="auto"/>
            </w:tcBorders>
          </w:tcPr>
          <w:p w14:paraId="5D64ABD1" w14:textId="77777777" w:rsidR="00FF66BD" w:rsidRPr="00D37636" w:rsidRDefault="00FF66BD" w:rsidP="006250D3">
            <w:pPr>
              <w:pStyle w:val="Default"/>
              <w:jc w:val="center"/>
              <w:rPr>
                <w:sz w:val="20"/>
                <w:szCs w:val="20"/>
              </w:rPr>
            </w:pPr>
            <w:r w:rsidRPr="00D37636">
              <w:rPr>
                <w:sz w:val="20"/>
                <w:szCs w:val="20"/>
              </w:rPr>
              <w:t>3</w:t>
            </w:r>
          </w:p>
        </w:tc>
        <w:tc>
          <w:tcPr>
            <w:tcW w:w="1710" w:type="dxa"/>
            <w:tcBorders>
              <w:top w:val="single" w:sz="6" w:space="0" w:color="auto"/>
              <w:left w:val="single" w:sz="6" w:space="0" w:color="auto"/>
              <w:bottom w:val="single" w:sz="6" w:space="0" w:color="auto"/>
              <w:right w:val="single" w:sz="4" w:space="0" w:color="auto"/>
            </w:tcBorders>
          </w:tcPr>
          <w:p w14:paraId="7A204D9C" w14:textId="77777777" w:rsidR="00FF66BD" w:rsidRPr="00D37636" w:rsidRDefault="00FF66BD" w:rsidP="006250D3">
            <w:pPr>
              <w:pStyle w:val="Default"/>
              <w:jc w:val="center"/>
              <w:rPr>
                <w:sz w:val="20"/>
                <w:szCs w:val="20"/>
              </w:rPr>
            </w:pPr>
            <w:r w:rsidRPr="00D37636">
              <w:rPr>
                <w:sz w:val="20"/>
                <w:szCs w:val="20"/>
              </w:rPr>
              <w:t>11.000</w:t>
            </w:r>
          </w:p>
        </w:tc>
        <w:tc>
          <w:tcPr>
            <w:tcW w:w="1622" w:type="dxa"/>
            <w:vMerge/>
            <w:tcBorders>
              <w:left w:val="single" w:sz="6" w:space="0" w:color="auto"/>
              <w:right w:val="single" w:sz="4" w:space="0" w:color="auto"/>
            </w:tcBorders>
            <w:shd w:val="clear" w:color="auto" w:fill="BFBFBF"/>
          </w:tcPr>
          <w:p w14:paraId="444E4DF6" w14:textId="77777777" w:rsidR="00FF66BD" w:rsidRPr="00D37636" w:rsidRDefault="00FF66BD" w:rsidP="006250D3">
            <w:pPr>
              <w:pStyle w:val="Default"/>
              <w:rPr>
                <w:sz w:val="20"/>
                <w:szCs w:val="20"/>
              </w:rPr>
            </w:pPr>
          </w:p>
        </w:tc>
        <w:tc>
          <w:tcPr>
            <w:tcW w:w="360" w:type="dxa"/>
          </w:tcPr>
          <w:p w14:paraId="0B11AC9D" w14:textId="77777777" w:rsidR="00FF66BD" w:rsidRPr="00D37636" w:rsidRDefault="00FF66BD">
            <w:pPr>
              <w:rPr>
                <w:rFonts w:ascii="Arial" w:hAnsi="Arial" w:cs="Arial"/>
                <w:color w:val="000000"/>
                <w:sz w:val="20"/>
                <w:szCs w:val="20"/>
              </w:rPr>
            </w:pPr>
            <w:r w:rsidRPr="00D37636">
              <w:rPr>
                <w:rFonts w:ascii="Arial" w:hAnsi="Arial" w:cs="Arial"/>
                <w:color w:val="000000"/>
                <w:sz w:val="20"/>
                <w:szCs w:val="20"/>
              </w:rPr>
              <w:t xml:space="preserve"> </w:t>
            </w:r>
          </w:p>
        </w:tc>
      </w:tr>
      <w:tr w:rsidR="00FF66BD" w:rsidRPr="00B21BCD" w14:paraId="6AD2571A" w14:textId="77777777" w:rsidTr="006250D3">
        <w:trPr>
          <w:trHeight w:val="109"/>
        </w:trPr>
        <w:tc>
          <w:tcPr>
            <w:tcW w:w="1985" w:type="dxa"/>
            <w:tcBorders>
              <w:top w:val="single" w:sz="6" w:space="0" w:color="auto"/>
              <w:left w:val="single" w:sz="4" w:space="0" w:color="auto"/>
              <w:bottom w:val="single" w:sz="6" w:space="0" w:color="auto"/>
              <w:right w:val="single" w:sz="6" w:space="0" w:color="auto"/>
            </w:tcBorders>
          </w:tcPr>
          <w:p w14:paraId="69262CBC" w14:textId="77777777" w:rsidR="00FF66BD" w:rsidRPr="00D37636" w:rsidRDefault="00FF66BD" w:rsidP="006250D3">
            <w:pPr>
              <w:pStyle w:val="Default"/>
              <w:rPr>
                <w:sz w:val="20"/>
                <w:szCs w:val="20"/>
              </w:rPr>
            </w:pPr>
            <w:r w:rsidRPr="00D37636">
              <w:rPr>
                <w:sz w:val="20"/>
                <w:szCs w:val="20"/>
              </w:rPr>
              <w:t xml:space="preserve"> Electrical Circuits </w:t>
            </w:r>
          </w:p>
        </w:tc>
        <w:tc>
          <w:tcPr>
            <w:tcW w:w="810" w:type="dxa"/>
            <w:tcBorders>
              <w:top w:val="single" w:sz="6" w:space="0" w:color="auto"/>
              <w:left w:val="single" w:sz="6" w:space="0" w:color="auto"/>
              <w:bottom w:val="single" w:sz="6" w:space="0" w:color="auto"/>
              <w:right w:val="single" w:sz="6" w:space="0" w:color="auto"/>
            </w:tcBorders>
          </w:tcPr>
          <w:p w14:paraId="788F0AE6" w14:textId="77777777" w:rsidR="00FF66BD" w:rsidRPr="00D37636" w:rsidRDefault="00FF66BD" w:rsidP="006250D3">
            <w:pPr>
              <w:pStyle w:val="Default"/>
              <w:rPr>
                <w:sz w:val="20"/>
                <w:szCs w:val="20"/>
              </w:rPr>
            </w:pPr>
            <w:r w:rsidRPr="00D37636">
              <w:rPr>
                <w:sz w:val="20"/>
                <w:szCs w:val="20"/>
              </w:rPr>
              <w:t>B</w:t>
            </w:r>
          </w:p>
        </w:tc>
        <w:tc>
          <w:tcPr>
            <w:tcW w:w="990" w:type="dxa"/>
            <w:tcBorders>
              <w:top w:val="single" w:sz="6" w:space="0" w:color="auto"/>
              <w:left w:val="single" w:sz="6" w:space="0" w:color="auto"/>
              <w:bottom w:val="single" w:sz="6" w:space="0" w:color="auto"/>
              <w:right w:val="single" w:sz="6" w:space="0" w:color="auto"/>
            </w:tcBorders>
          </w:tcPr>
          <w:p w14:paraId="22A21B42" w14:textId="77777777" w:rsidR="00FF66BD" w:rsidRPr="00D37636" w:rsidRDefault="00FF66BD" w:rsidP="006250D3">
            <w:pPr>
              <w:pStyle w:val="Default"/>
              <w:jc w:val="center"/>
              <w:rPr>
                <w:sz w:val="20"/>
                <w:szCs w:val="20"/>
              </w:rPr>
            </w:pPr>
            <w:r w:rsidRPr="00D37636">
              <w:rPr>
                <w:sz w:val="20"/>
                <w:szCs w:val="20"/>
              </w:rPr>
              <w:t>3.000</w:t>
            </w:r>
          </w:p>
        </w:tc>
        <w:tc>
          <w:tcPr>
            <w:tcW w:w="1080" w:type="dxa"/>
            <w:tcBorders>
              <w:top w:val="single" w:sz="6" w:space="0" w:color="auto"/>
              <w:left w:val="single" w:sz="6" w:space="0" w:color="auto"/>
              <w:bottom w:val="single" w:sz="6" w:space="0" w:color="auto"/>
              <w:right w:val="single" w:sz="6" w:space="0" w:color="auto"/>
            </w:tcBorders>
          </w:tcPr>
          <w:p w14:paraId="3FFC76A3" w14:textId="77777777" w:rsidR="00FF66BD" w:rsidRPr="00D37636" w:rsidRDefault="00FF66BD" w:rsidP="006250D3">
            <w:pPr>
              <w:pStyle w:val="Default"/>
              <w:jc w:val="center"/>
              <w:rPr>
                <w:sz w:val="20"/>
                <w:szCs w:val="20"/>
              </w:rPr>
            </w:pPr>
            <w:r w:rsidRPr="00D37636">
              <w:rPr>
                <w:sz w:val="20"/>
                <w:szCs w:val="20"/>
              </w:rPr>
              <w:t>3</w:t>
            </w:r>
          </w:p>
        </w:tc>
        <w:tc>
          <w:tcPr>
            <w:tcW w:w="1710" w:type="dxa"/>
            <w:tcBorders>
              <w:top w:val="single" w:sz="6" w:space="0" w:color="auto"/>
              <w:left w:val="single" w:sz="6" w:space="0" w:color="auto"/>
              <w:bottom w:val="single" w:sz="6" w:space="0" w:color="auto"/>
              <w:right w:val="single" w:sz="4" w:space="0" w:color="auto"/>
            </w:tcBorders>
          </w:tcPr>
          <w:p w14:paraId="536025E1" w14:textId="77777777" w:rsidR="00FF66BD" w:rsidRPr="00D37636" w:rsidRDefault="00FF66BD" w:rsidP="006250D3">
            <w:pPr>
              <w:pStyle w:val="Default"/>
              <w:jc w:val="center"/>
              <w:rPr>
                <w:sz w:val="20"/>
                <w:szCs w:val="20"/>
              </w:rPr>
            </w:pPr>
            <w:r w:rsidRPr="00D37636">
              <w:rPr>
                <w:sz w:val="20"/>
                <w:szCs w:val="20"/>
              </w:rPr>
              <w:t>9.000</w:t>
            </w:r>
          </w:p>
        </w:tc>
        <w:tc>
          <w:tcPr>
            <w:tcW w:w="1622" w:type="dxa"/>
            <w:vMerge/>
            <w:tcBorders>
              <w:left w:val="single" w:sz="6" w:space="0" w:color="auto"/>
              <w:bottom w:val="single" w:sz="6" w:space="0" w:color="auto"/>
              <w:right w:val="single" w:sz="4" w:space="0" w:color="auto"/>
            </w:tcBorders>
            <w:shd w:val="clear" w:color="auto" w:fill="BFBFBF"/>
          </w:tcPr>
          <w:p w14:paraId="2A99FA56" w14:textId="77777777" w:rsidR="00FF66BD" w:rsidRPr="00D37636" w:rsidRDefault="00FF66BD" w:rsidP="006250D3">
            <w:pPr>
              <w:pStyle w:val="Default"/>
              <w:rPr>
                <w:sz w:val="20"/>
                <w:szCs w:val="20"/>
              </w:rPr>
            </w:pPr>
          </w:p>
        </w:tc>
        <w:tc>
          <w:tcPr>
            <w:tcW w:w="360" w:type="dxa"/>
          </w:tcPr>
          <w:p w14:paraId="702587A9" w14:textId="77777777" w:rsidR="00FF66BD" w:rsidRPr="00D37636" w:rsidRDefault="00FF66BD">
            <w:pPr>
              <w:rPr>
                <w:rFonts w:ascii="Arial" w:hAnsi="Arial" w:cs="Arial"/>
                <w:color w:val="000000"/>
                <w:sz w:val="20"/>
                <w:szCs w:val="20"/>
              </w:rPr>
            </w:pPr>
            <w:r w:rsidRPr="00D37636">
              <w:rPr>
                <w:rFonts w:ascii="Arial" w:hAnsi="Arial" w:cs="Arial"/>
                <w:color w:val="000000"/>
                <w:sz w:val="20"/>
                <w:szCs w:val="20"/>
              </w:rPr>
              <w:t xml:space="preserve"> </w:t>
            </w:r>
          </w:p>
        </w:tc>
      </w:tr>
      <w:tr w:rsidR="00FF66BD" w:rsidRPr="00B21BCD" w14:paraId="3CB93231" w14:textId="77777777" w:rsidTr="006250D3">
        <w:trPr>
          <w:trHeight w:val="108"/>
        </w:trPr>
        <w:tc>
          <w:tcPr>
            <w:tcW w:w="1985" w:type="dxa"/>
            <w:tcBorders>
              <w:top w:val="single" w:sz="6" w:space="0" w:color="auto"/>
              <w:left w:val="single" w:sz="4" w:space="0" w:color="auto"/>
              <w:bottom w:val="single" w:sz="4" w:space="0" w:color="auto"/>
              <w:right w:val="single" w:sz="6" w:space="0" w:color="auto"/>
            </w:tcBorders>
          </w:tcPr>
          <w:p w14:paraId="22647243" w14:textId="77777777" w:rsidR="00FF66BD" w:rsidRPr="00D37636" w:rsidRDefault="00FF66BD" w:rsidP="006250D3">
            <w:pPr>
              <w:pStyle w:val="Default"/>
              <w:rPr>
                <w:sz w:val="20"/>
                <w:szCs w:val="20"/>
              </w:rPr>
            </w:pPr>
            <w:r w:rsidRPr="00D37636">
              <w:rPr>
                <w:sz w:val="20"/>
                <w:szCs w:val="20"/>
              </w:rPr>
              <w:t xml:space="preserve"> </w:t>
            </w:r>
          </w:p>
        </w:tc>
        <w:tc>
          <w:tcPr>
            <w:tcW w:w="810" w:type="dxa"/>
            <w:tcBorders>
              <w:top w:val="single" w:sz="6" w:space="0" w:color="auto"/>
              <w:left w:val="single" w:sz="6" w:space="0" w:color="auto"/>
              <w:bottom w:val="single" w:sz="4" w:space="0" w:color="auto"/>
              <w:right w:val="single" w:sz="6" w:space="0" w:color="auto"/>
            </w:tcBorders>
          </w:tcPr>
          <w:p w14:paraId="02804AE3" w14:textId="77777777" w:rsidR="00FF66BD" w:rsidRPr="00D37636" w:rsidRDefault="00FF66BD" w:rsidP="006250D3">
            <w:pPr>
              <w:pStyle w:val="Default"/>
              <w:rPr>
                <w:sz w:val="20"/>
                <w:szCs w:val="20"/>
              </w:rPr>
            </w:pPr>
            <w:r w:rsidRPr="00D37636">
              <w:rPr>
                <w:sz w:val="20"/>
                <w:szCs w:val="20"/>
              </w:rPr>
              <w:t xml:space="preserve"> </w:t>
            </w:r>
          </w:p>
        </w:tc>
        <w:tc>
          <w:tcPr>
            <w:tcW w:w="990" w:type="dxa"/>
            <w:tcBorders>
              <w:top w:val="single" w:sz="6" w:space="0" w:color="auto"/>
              <w:left w:val="single" w:sz="6" w:space="0" w:color="auto"/>
              <w:bottom w:val="single" w:sz="4" w:space="0" w:color="auto"/>
              <w:right w:val="single" w:sz="6" w:space="0" w:color="auto"/>
            </w:tcBorders>
          </w:tcPr>
          <w:p w14:paraId="0EC59214" w14:textId="77777777" w:rsidR="00FF66BD" w:rsidRPr="00D37636" w:rsidRDefault="00FF66BD" w:rsidP="006250D3">
            <w:pPr>
              <w:pStyle w:val="Default"/>
              <w:jc w:val="center"/>
              <w:rPr>
                <w:sz w:val="20"/>
                <w:szCs w:val="20"/>
              </w:rPr>
            </w:pPr>
            <w:r w:rsidRPr="00D37636">
              <w:rPr>
                <w:b/>
                <w:bCs/>
                <w:sz w:val="20"/>
                <w:szCs w:val="20"/>
              </w:rPr>
              <w:t>Total</w:t>
            </w:r>
          </w:p>
        </w:tc>
        <w:tc>
          <w:tcPr>
            <w:tcW w:w="1080" w:type="dxa"/>
            <w:tcBorders>
              <w:top w:val="single" w:sz="6" w:space="0" w:color="auto"/>
              <w:left w:val="single" w:sz="6" w:space="0" w:color="auto"/>
              <w:bottom w:val="single" w:sz="4" w:space="0" w:color="auto"/>
              <w:right w:val="single" w:sz="6" w:space="0" w:color="auto"/>
            </w:tcBorders>
          </w:tcPr>
          <w:p w14:paraId="4C81B1CE" w14:textId="77777777" w:rsidR="00FF66BD" w:rsidRPr="00D37636" w:rsidRDefault="00FF66BD" w:rsidP="006250D3">
            <w:pPr>
              <w:pStyle w:val="Default"/>
              <w:jc w:val="center"/>
              <w:rPr>
                <w:sz w:val="20"/>
                <w:szCs w:val="20"/>
              </w:rPr>
            </w:pPr>
            <w:r w:rsidRPr="00D37636">
              <w:rPr>
                <w:b/>
                <w:bCs/>
                <w:sz w:val="20"/>
                <w:szCs w:val="20"/>
              </w:rPr>
              <w:t>16</w:t>
            </w:r>
          </w:p>
        </w:tc>
        <w:tc>
          <w:tcPr>
            <w:tcW w:w="1710" w:type="dxa"/>
            <w:tcBorders>
              <w:top w:val="single" w:sz="6" w:space="0" w:color="auto"/>
              <w:left w:val="single" w:sz="6" w:space="0" w:color="auto"/>
              <w:bottom w:val="single" w:sz="4" w:space="0" w:color="auto"/>
              <w:right w:val="single" w:sz="6" w:space="0" w:color="auto"/>
            </w:tcBorders>
          </w:tcPr>
          <w:p w14:paraId="268F0095" w14:textId="77777777" w:rsidR="00FF66BD" w:rsidRPr="00D37636" w:rsidRDefault="00FF66BD" w:rsidP="006250D3">
            <w:pPr>
              <w:pStyle w:val="Default"/>
              <w:jc w:val="center"/>
              <w:rPr>
                <w:sz w:val="20"/>
                <w:szCs w:val="20"/>
              </w:rPr>
            </w:pPr>
            <w:r w:rsidRPr="00D37636">
              <w:rPr>
                <w:b/>
                <w:bCs/>
                <w:sz w:val="20"/>
                <w:szCs w:val="20"/>
              </w:rPr>
              <w:t>56.333</w:t>
            </w:r>
          </w:p>
        </w:tc>
        <w:tc>
          <w:tcPr>
            <w:tcW w:w="1622" w:type="dxa"/>
            <w:tcBorders>
              <w:top w:val="single" w:sz="6" w:space="0" w:color="auto"/>
              <w:left w:val="single" w:sz="6" w:space="0" w:color="auto"/>
              <w:bottom w:val="single" w:sz="4" w:space="0" w:color="auto"/>
              <w:right w:val="single" w:sz="4" w:space="0" w:color="auto"/>
            </w:tcBorders>
          </w:tcPr>
          <w:p w14:paraId="57161850" w14:textId="77777777" w:rsidR="00FF66BD" w:rsidRPr="00D37636" w:rsidRDefault="00FF66BD" w:rsidP="006250D3">
            <w:pPr>
              <w:pStyle w:val="Default"/>
              <w:rPr>
                <w:sz w:val="20"/>
                <w:szCs w:val="20"/>
              </w:rPr>
            </w:pPr>
            <w:r w:rsidRPr="00D37636">
              <w:rPr>
                <w:sz w:val="20"/>
                <w:szCs w:val="20"/>
              </w:rPr>
              <w:t xml:space="preserve"> 56.33/16 = </w:t>
            </w:r>
            <w:r w:rsidRPr="00D37636">
              <w:rPr>
                <w:b/>
                <w:bCs/>
                <w:sz w:val="20"/>
                <w:szCs w:val="20"/>
              </w:rPr>
              <w:t xml:space="preserve">3.52 </w:t>
            </w:r>
          </w:p>
        </w:tc>
        <w:tc>
          <w:tcPr>
            <w:tcW w:w="360" w:type="dxa"/>
          </w:tcPr>
          <w:p w14:paraId="05AF9A25" w14:textId="77777777" w:rsidR="00FF66BD" w:rsidRPr="00D37636" w:rsidRDefault="00FF66BD">
            <w:pPr>
              <w:rPr>
                <w:rFonts w:ascii="Arial" w:hAnsi="Arial" w:cs="Arial"/>
                <w:color w:val="000000"/>
                <w:sz w:val="20"/>
                <w:szCs w:val="20"/>
              </w:rPr>
            </w:pPr>
            <w:r w:rsidRPr="00D37636">
              <w:rPr>
                <w:rFonts w:ascii="Arial" w:hAnsi="Arial" w:cs="Arial"/>
                <w:color w:val="000000"/>
                <w:sz w:val="20"/>
                <w:szCs w:val="20"/>
              </w:rPr>
              <w:t xml:space="preserve"> </w:t>
            </w:r>
          </w:p>
        </w:tc>
      </w:tr>
    </w:tbl>
    <w:p w14:paraId="27C756D9" w14:textId="77777777" w:rsidR="00FF66BD" w:rsidRPr="00D37636" w:rsidRDefault="00FF66BD" w:rsidP="00D37636">
      <w:pPr>
        <w:pStyle w:val="ListParagraph"/>
        <w:jc w:val="both"/>
        <w:rPr>
          <w:rFonts w:ascii="Arial" w:hAnsi="Arial" w:cs="Arial"/>
          <w:sz w:val="20"/>
          <w:szCs w:val="20"/>
        </w:rPr>
      </w:pPr>
    </w:p>
    <w:p w14:paraId="255B7C87" w14:textId="77777777" w:rsidR="00FF66BD" w:rsidRPr="00D37636" w:rsidRDefault="00FF66BD" w:rsidP="00FF66BD">
      <w:pPr>
        <w:pStyle w:val="ListParagraph"/>
        <w:numPr>
          <w:ilvl w:val="0"/>
          <w:numId w:val="6"/>
        </w:numPr>
        <w:autoSpaceDE w:val="0"/>
        <w:autoSpaceDN w:val="0"/>
        <w:adjustRightInd w:val="0"/>
        <w:rPr>
          <w:rFonts w:ascii="Arial" w:hAnsi="Arial" w:cs="Arial"/>
          <w:sz w:val="20"/>
          <w:szCs w:val="20"/>
        </w:rPr>
      </w:pPr>
      <w:r w:rsidRPr="00D37636">
        <w:rPr>
          <w:rFonts w:ascii="Arial" w:hAnsi="Arial" w:cs="Arial"/>
          <w:sz w:val="20"/>
          <w:szCs w:val="20"/>
        </w:rPr>
        <w:t>**ASHRAE must be notified if an applicant or awardee leaves school, changes projects or changes faculty advisors.</w:t>
      </w:r>
    </w:p>
    <w:p w14:paraId="41C51BA3" w14:textId="77777777" w:rsidR="004C55F7" w:rsidRPr="00D37636" w:rsidRDefault="004C55F7">
      <w:pPr>
        <w:rPr>
          <w:rFonts w:ascii="Arial" w:hAnsi="Arial" w:cs="Arial"/>
          <w:sz w:val="20"/>
          <w:szCs w:val="20"/>
        </w:rPr>
      </w:pPr>
    </w:p>
    <w:sectPr w:rsidR="004C55F7" w:rsidRPr="00D376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F604D" w14:textId="77777777" w:rsidR="00060EFE" w:rsidRDefault="00060EFE" w:rsidP="00FF66BD">
      <w:pPr>
        <w:spacing w:after="0" w:line="240" w:lineRule="auto"/>
      </w:pPr>
      <w:r>
        <w:separator/>
      </w:r>
    </w:p>
  </w:endnote>
  <w:endnote w:type="continuationSeparator" w:id="0">
    <w:p w14:paraId="345984EB" w14:textId="77777777" w:rsidR="00060EFE" w:rsidRDefault="00060EFE" w:rsidP="00FF6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E3396" w14:textId="77777777" w:rsidR="00060EFE" w:rsidRDefault="00060EFE" w:rsidP="00FF66BD">
      <w:pPr>
        <w:spacing w:after="0" w:line="240" w:lineRule="auto"/>
      </w:pPr>
      <w:r>
        <w:separator/>
      </w:r>
    </w:p>
  </w:footnote>
  <w:footnote w:type="continuationSeparator" w:id="0">
    <w:p w14:paraId="7CB0E6A8" w14:textId="77777777" w:rsidR="00060EFE" w:rsidRDefault="00060EFE" w:rsidP="00FF66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A77FC"/>
    <w:multiLevelType w:val="multilevel"/>
    <w:tmpl w:val="9BDE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B223C3"/>
    <w:multiLevelType w:val="multilevel"/>
    <w:tmpl w:val="45AE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B15BBA"/>
    <w:multiLevelType w:val="multilevel"/>
    <w:tmpl w:val="5D18B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012177"/>
    <w:multiLevelType w:val="hybridMultilevel"/>
    <w:tmpl w:val="25B2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CD6DA7"/>
    <w:multiLevelType w:val="multilevel"/>
    <w:tmpl w:val="FC2A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7D1EC7"/>
    <w:multiLevelType w:val="singleLevel"/>
    <w:tmpl w:val="D708E07E"/>
    <w:lvl w:ilvl="0">
      <w:start w:val="1"/>
      <w:numFmt w:val="decimal"/>
      <w:lvlText w:val="%1."/>
      <w:lvlJc w:val="left"/>
      <w:pPr>
        <w:tabs>
          <w:tab w:val="num" w:pos="720"/>
        </w:tabs>
        <w:ind w:left="720" w:hanging="720"/>
      </w:pPr>
      <w:rPr>
        <w:rFonts w:hint="default"/>
      </w:rPr>
    </w:lvl>
  </w:abstractNum>
  <w:abstractNum w:abstractNumId="6" w15:restartNumberingAfterBreak="0">
    <w:nsid w:val="4D1B5027"/>
    <w:multiLevelType w:val="multilevel"/>
    <w:tmpl w:val="691E3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0258E0"/>
    <w:multiLevelType w:val="multilevel"/>
    <w:tmpl w:val="9B161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6425711">
    <w:abstractNumId w:val="4"/>
  </w:num>
  <w:num w:numId="2" w16cid:durableId="1325351889">
    <w:abstractNumId w:val="2"/>
  </w:num>
  <w:num w:numId="3" w16cid:durableId="94138338">
    <w:abstractNumId w:val="0"/>
  </w:num>
  <w:num w:numId="4" w16cid:durableId="485512192">
    <w:abstractNumId w:val="6"/>
  </w:num>
  <w:num w:numId="5" w16cid:durableId="367873387">
    <w:abstractNumId w:val="7"/>
  </w:num>
  <w:num w:numId="6" w16cid:durableId="1172257429">
    <w:abstractNumId w:val="1"/>
  </w:num>
  <w:num w:numId="7" w16cid:durableId="969747590">
    <w:abstractNumId w:val="3"/>
  </w:num>
  <w:num w:numId="8" w16cid:durableId="431368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21D"/>
    <w:rsid w:val="00060EFE"/>
    <w:rsid w:val="0008475A"/>
    <w:rsid w:val="00242986"/>
    <w:rsid w:val="00255D8E"/>
    <w:rsid w:val="002E4510"/>
    <w:rsid w:val="002F7EE8"/>
    <w:rsid w:val="00333E18"/>
    <w:rsid w:val="003C73F4"/>
    <w:rsid w:val="003D55DE"/>
    <w:rsid w:val="0047361C"/>
    <w:rsid w:val="00487AE7"/>
    <w:rsid w:val="004A2AF4"/>
    <w:rsid w:val="004A4BD9"/>
    <w:rsid w:val="004C55F7"/>
    <w:rsid w:val="00514EFC"/>
    <w:rsid w:val="00534A62"/>
    <w:rsid w:val="00561DEA"/>
    <w:rsid w:val="0070321D"/>
    <w:rsid w:val="00715426"/>
    <w:rsid w:val="007324AD"/>
    <w:rsid w:val="00767BDD"/>
    <w:rsid w:val="007D731C"/>
    <w:rsid w:val="0085592D"/>
    <w:rsid w:val="00886007"/>
    <w:rsid w:val="008957CC"/>
    <w:rsid w:val="008D020D"/>
    <w:rsid w:val="008F04EB"/>
    <w:rsid w:val="009142D8"/>
    <w:rsid w:val="00A46DDA"/>
    <w:rsid w:val="00B21BCD"/>
    <w:rsid w:val="00B2614A"/>
    <w:rsid w:val="00BA593C"/>
    <w:rsid w:val="00BC4CFC"/>
    <w:rsid w:val="00CC2D02"/>
    <w:rsid w:val="00D37636"/>
    <w:rsid w:val="00D832FB"/>
    <w:rsid w:val="00DB08B9"/>
    <w:rsid w:val="00DF759F"/>
    <w:rsid w:val="00FF6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32C3"/>
  <w15:docId w15:val="{36F91D51-EA35-432A-A941-17244F67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3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21D"/>
    <w:rPr>
      <w:rFonts w:ascii="Tahoma" w:hAnsi="Tahoma" w:cs="Tahoma"/>
      <w:sz w:val="16"/>
      <w:szCs w:val="16"/>
    </w:rPr>
  </w:style>
  <w:style w:type="paragraph" w:styleId="Header">
    <w:name w:val="header"/>
    <w:basedOn w:val="Normal"/>
    <w:link w:val="HeaderChar"/>
    <w:uiPriority w:val="99"/>
    <w:unhideWhenUsed/>
    <w:rsid w:val="00FF6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6BD"/>
  </w:style>
  <w:style w:type="paragraph" w:styleId="Footer">
    <w:name w:val="footer"/>
    <w:basedOn w:val="Normal"/>
    <w:link w:val="FooterChar"/>
    <w:uiPriority w:val="99"/>
    <w:unhideWhenUsed/>
    <w:rsid w:val="00FF6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6BD"/>
  </w:style>
  <w:style w:type="paragraph" w:styleId="ListParagraph">
    <w:name w:val="List Paragraph"/>
    <w:basedOn w:val="Normal"/>
    <w:uiPriority w:val="34"/>
    <w:qFormat/>
    <w:rsid w:val="00FF66BD"/>
    <w:pPr>
      <w:ind w:left="720"/>
      <w:contextualSpacing/>
    </w:pPr>
  </w:style>
  <w:style w:type="character" w:styleId="Hyperlink">
    <w:name w:val="Hyperlink"/>
    <w:rsid w:val="00FF66BD"/>
    <w:rPr>
      <w:color w:val="0000FF"/>
      <w:u w:val="single"/>
    </w:rPr>
  </w:style>
  <w:style w:type="paragraph" w:customStyle="1" w:styleId="Default">
    <w:name w:val="Default"/>
    <w:rsid w:val="00FF66BD"/>
    <w:pPr>
      <w:autoSpaceDE w:val="0"/>
      <w:autoSpaceDN w:val="0"/>
      <w:adjustRightInd w:val="0"/>
      <w:spacing w:after="0" w:line="240" w:lineRule="auto"/>
    </w:pPr>
    <w:rPr>
      <w:rFonts w:ascii="Arial" w:eastAsia="Times New Roman" w:hAnsi="Arial" w:cs="Arial"/>
      <w:color w:val="000000"/>
      <w:sz w:val="24"/>
      <w:szCs w:val="24"/>
    </w:rPr>
  </w:style>
  <w:style w:type="character" w:styleId="UnresolvedMention">
    <w:name w:val="Unresolved Mention"/>
    <w:basedOn w:val="DefaultParagraphFont"/>
    <w:uiPriority w:val="99"/>
    <w:semiHidden/>
    <w:unhideWhenUsed/>
    <w:rsid w:val="003C7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99678">
      <w:bodyDiv w:val="1"/>
      <w:marLeft w:val="0"/>
      <w:marRight w:val="0"/>
      <w:marTop w:val="0"/>
      <w:marBottom w:val="0"/>
      <w:divBdr>
        <w:top w:val="none" w:sz="0" w:space="0" w:color="auto"/>
        <w:left w:val="none" w:sz="0" w:space="0" w:color="auto"/>
        <w:bottom w:val="none" w:sz="0" w:space="0" w:color="auto"/>
        <w:right w:val="none" w:sz="0" w:space="0" w:color="auto"/>
      </w:divBdr>
      <w:divsChild>
        <w:div w:id="1056469747">
          <w:marLeft w:val="0"/>
          <w:marRight w:val="0"/>
          <w:marTop w:val="75"/>
          <w:marBottom w:val="300"/>
          <w:divBdr>
            <w:top w:val="none" w:sz="0" w:space="0" w:color="auto"/>
            <w:left w:val="none" w:sz="0" w:space="0" w:color="auto"/>
            <w:bottom w:val="none" w:sz="0" w:space="0" w:color="auto"/>
            <w:right w:val="none" w:sz="0" w:space="0" w:color="auto"/>
          </w:divBdr>
        </w:div>
      </w:divsChild>
    </w:div>
    <w:div w:id="637422188">
      <w:bodyDiv w:val="1"/>
      <w:marLeft w:val="0"/>
      <w:marRight w:val="0"/>
      <w:marTop w:val="0"/>
      <w:marBottom w:val="0"/>
      <w:divBdr>
        <w:top w:val="none" w:sz="0" w:space="0" w:color="auto"/>
        <w:left w:val="none" w:sz="0" w:space="0" w:color="auto"/>
        <w:bottom w:val="none" w:sz="0" w:space="0" w:color="auto"/>
        <w:right w:val="none" w:sz="0" w:space="0" w:color="auto"/>
      </w:divBdr>
    </w:div>
    <w:div w:id="881483486">
      <w:bodyDiv w:val="1"/>
      <w:marLeft w:val="0"/>
      <w:marRight w:val="0"/>
      <w:marTop w:val="0"/>
      <w:marBottom w:val="0"/>
      <w:divBdr>
        <w:top w:val="none" w:sz="0" w:space="0" w:color="auto"/>
        <w:left w:val="none" w:sz="0" w:space="0" w:color="auto"/>
        <w:bottom w:val="none" w:sz="0" w:space="0" w:color="auto"/>
        <w:right w:val="none" w:sz="0" w:space="0" w:color="auto"/>
      </w:divBdr>
      <w:divsChild>
        <w:div w:id="156847718">
          <w:marLeft w:val="0"/>
          <w:marRight w:val="0"/>
          <w:marTop w:val="75"/>
          <w:marBottom w:val="300"/>
          <w:divBdr>
            <w:top w:val="none" w:sz="0" w:space="0" w:color="auto"/>
            <w:left w:val="none" w:sz="0" w:space="0" w:color="auto"/>
            <w:bottom w:val="none" w:sz="0" w:space="0" w:color="auto"/>
            <w:right w:val="none" w:sz="0" w:space="0" w:color="auto"/>
          </w:divBdr>
        </w:div>
        <w:div w:id="1838692050">
          <w:marLeft w:val="0"/>
          <w:marRight w:val="0"/>
          <w:marTop w:val="75"/>
          <w:marBottom w:val="300"/>
          <w:divBdr>
            <w:top w:val="none" w:sz="0" w:space="0" w:color="auto"/>
            <w:left w:val="none" w:sz="0" w:space="0" w:color="auto"/>
            <w:bottom w:val="none" w:sz="0" w:space="0" w:color="auto"/>
            <w:right w:val="none" w:sz="0" w:space="0" w:color="auto"/>
          </w:divBdr>
        </w:div>
      </w:divsChild>
    </w:div>
    <w:div w:id="957762969">
      <w:bodyDiv w:val="1"/>
      <w:marLeft w:val="0"/>
      <w:marRight w:val="0"/>
      <w:marTop w:val="0"/>
      <w:marBottom w:val="0"/>
      <w:divBdr>
        <w:top w:val="none" w:sz="0" w:space="0" w:color="auto"/>
        <w:left w:val="none" w:sz="0" w:space="0" w:color="auto"/>
        <w:bottom w:val="none" w:sz="0" w:space="0" w:color="auto"/>
        <w:right w:val="none" w:sz="0" w:space="0" w:color="auto"/>
      </w:divBdr>
      <w:divsChild>
        <w:div w:id="637145417">
          <w:marLeft w:val="0"/>
          <w:marRight w:val="0"/>
          <w:marTop w:val="75"/>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ORTS@ashrae.net%20" TargetMode="External"/><Relationship Id="rId4" Type="http://schemas.openxmlformats.org/officeDocument/2006/relationships/settings" Target="settings.xml"/><Relationship Id="rId9" Type="http://schemas.openxmlformats.org/officeDocument/2006/relationships/hyperlink" Target="http://www.ashra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D6A62-5B4D-45F5-81BA-658B54007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1461</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gieslera</dc:creator>
  <cp:lastModifiedBy>Daniel, Donna</cp:lastModifiedBy>
  <cp:revision>2</cp:revision>
  <dcterms:created xsi:type="dcterms:W3CDTF">2025-08-27T16:30:00Z</dcterms:created>
  <dcterms:modified xsi:type="dcterms:W3CDTF">2025-08-27T16:30:00Z</dcterms:modified>
</cp:coreProperties>
</file>