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3B1A" w14:textId="77777777" w:rsidR="00902D4A" w:rsidRPr="00633598" w:rsidRDefault="00902D4A">
      <w:pPr>
        <w:tabs>
          <w:tab w:val="decimal" w:pos="1170"/>
        </w:tabs>
        <w:suppressAutoHyphens/>
        <w:ind w:left="720" w:right="-1134"/>
        <w:rPr>
          <w:sz w:val="20"/>
        </w:rPr>
      </w:pPr>
    </w:p>
    <w:p w14:paraId="7B1B4D60" w14:textId="4B1C1B92" w:rsidR="00902D4A" w:rsidRPr="00633598" w:rsidRDefault="001173B3">
      <w:pPr>
        <w:tabs>
          <w:tab w:val="decimal" w:pos="1170"/>
        </w:tabs>
        <w:suppressAutoHyphens/>
        <w:ind w:left="720" w:right="-1134"/>
        <w:rPr>
          <w:sz w:val="20"/>
        </w:rPr>
      </w:pPr>
      <w:r w:rsidRPr="007B247A">
        <w:rPr>
          <w:noProof/>
          <w:sz w:val="28"/>
          <w:szCs w:val="28"/>
        </w:rPr>
        <w:drawing>
          <wp:inline distT="0" distB="0" distL="0" distR="0" wp14:anchorId="5B5FDA23" wp14:editId="30C9DC7B">
            <wp:extent cx="1092200" cy="755650"/>
            <wp:effectExtent l="0" t="0" r="0" b="0"/>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755650"/>
                    </a:xfrm>
                    <a:prstGeom prst="rect">
                      <a:avLst/>
                    </a:prstGeom>
                    <a:noFill/>
                    <a:ln>
                      <a:noFill/>
                    </a:ln>
                  </pic:spPr>
                </pic:pic>
              </a:graphicData>
            </a:graphic>
          </wp:inline>
        </w:drawing>
      </w:r>
      <w:r w:rsidR="00902D4A" w:rsidRPr="00747C6D">
        <w:rPr>
          <w:b/>
          <w:bCs/>
          <w:sz w:val="60"/>
          <w:szCs w:val="60"/>
        </w:rPr>
        <w:t>Standards Committee</w:t>
      </w:r>
    </w:p>
    <w:p w14:paraId="617462AB" w14:textId="505E3735" w:rsidR="00902D4A" w:rsidRPr="00633598" w:rsidRDefault="001173B3">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sz w:val="20"/>
        </w:rPr>
      </w:pPr>
      <w:r w:rsidRPr="00633598">
        <w:rPr>
          <w:noProof/>
          <w:sz w:val="20"/>
        </w:rPr>
        <mc:AlternateContent>
          <mc:Choice Requires="wps">
            <w:drawing>
              <wp:anchor distT="0" distB="0" distL="114300" distR="114300" simplePos="0" relativeHeight="251657728" behindDoc="0" locked="0" layoutInCell="0" allowOverlap="1" wp14:anchorId="07404BC2" wp14:editId="52277FCA">
                <wp:simplePos x="0" y="0"/>
                <wp:positionH relativeFrom="column">
                  <wp:posOffset>-137160</wp:posOffset>
                </wp:positionH>
                <wp:positionV relativeFrom="paragraph">
                  <wp:posOffset>136525</wp:posOffset>
                </wp:positionV>
                <wp:extent cx="566928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B947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5pt" to="435.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" o:allowincell="f"/>
            </w:pict>
          </mc:Fallback>
        </mc:AlternateContent>
      </w:r>
    </w:p>
    <w:p w14:paraId="48FA31A2"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sz w:val="20"/>
        </w:rPr>
      </w:pPr>
    </w:p>
    <w:p w14:paraId="414EE2D4" w14:textId="77777777" w:rsidR="00902D4A" w:rsidRPr="00747C6D" w:rsidRDefault="00902D4A" w:rsidP="00747C6D">
      <w:pPr>
        <w:tabs>
          <w:tab w:val="left" w:pos="11160"/>
        </w:tabs>
        <w:suppressAutoHyphens/>
        <w:ind w:left="-1152"/>
        <w:jc w:val="center"/>
        <w:outlineLvl w:val="0"/>
        <w:rPr>
          <w:b/>
          <w:sz w:val="60"/>
          <w:szCs w:val="60"/>
        </w:rPr>
      </w:pPr>
      <w:r w:rsidRPr="00747C6D">
        <w:rPr>
          <w:b/>
          <w:sz w:val="60"/>
          <w:szCs w:val="60"/>
        </w:rPr>
        <w:t>Manual of Procedures</w:t>
      </w:r>
    </w:p>
    <w:p w14:paraId="0A60A3BA" w14:textId="77777777" w:rsidR="00902D4A" w:rsidRPr="00747C6D" w:rsidRDefault="00902D4A" w:rsidP="00747C6D">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ind w:left="-720" w:firstLine="90"/>
        <w:jc w:val="center"/>
        <w:outlineLvl w:val="0"/>
        <w:rPr>
          <w:b/>
          <w:sz w:val="60"/>
          <w:szCs w:val="60"/>
        </w:rPr>
      </w:pPr>
      <w:r w:rsidRPr="00747C6D">
        <w:rPr>
          <w:b/>
          <w:sz w:val="60"/>
          <w:szCs w:val="60"/>
        </w:rPr>
        <w:t>MOP</w:t>
      </w:r>
    </w:p>
    <w:p w14:paraId="3875DFB3"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b/>
          <w:sz w:val="20"/>
        </w:rPr>
      </w:pPr>
    </w:p>
    <w:p w14:paraId="1D13BAA9"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b/>
          <w:sz w:val="20"/>
        </w:rPr>
      </w:pPr>
    </w:p>
    <w:p w14:paraId="18EC96B3"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rPr>
          <w:b/>
          <w:sz w:val="20"/>
        </w:rPr>
      </w:pPr>
    </w:p>
    <w:p w14:paraId="475E186F"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sz w:val="20"/>
        </w:rPr>
      </w:pPr>
    </w:p>
    <w:p w14:paraId="7FDC3822"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sz w:val="20"/>
        </w:rPr>
      </w:pPr>
    </w:p>
    <w:p w14:paraId="3E625A13" w14:textId="77777777" w:rsidR="00902D4A" w:rsidRPr="00633598" w:rsidRDefault="00902D4A">
      <w:pPr>
        <w:tabs>
          <w:tab w:val="left" w:pos="-360"/>
          <w:tab w:val="left" w:pos="360"/>
          <w:tab w:val="left" w:pos="648"/>
          <w:tab w:val="left" w:pos="936"/>
          <w:tab w:val="left" w:pos="1224"/>
          <w:tab w:val="left" w:pos="1512"/>
          <w:tab w:val="left" w:pos="1800"/>
          <w:tab w:val="left" w:pos="2088"/>
          <w:tab w:val="left" w:pos="2376"/>
          <w:tab w:val="left" w:pos="2664"/>
          <w:tab w:val="left" w:pos="2952"/>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jc w:val="both"/>
        <w:rPr>
          <w:sz w:val="20"/>
        </w:rPr>
      </w:pPr>
    </w:p>
    <w:p w14:paraId="5E267021" w14:textId="77777777" w:rsidR="00902D4A" w:rsidRPr="00633598" w:rsidRDefault="00902D4A">
      <w:pPr>
        <w:tabs>
          <w:tab w:val="center" w:pos="5400"/>
        </w:tabs>
        <w:suppressAutoHyphens/>
        <w:jc w:val="both"/>
        <w:rPr>
          <w:sz w:val="20"/>
        </w:rPr>
      </w:pPr>
    </w:p>
    <w:p w14:paraId="03A88B0B" w14:textId="77777777" w:rsidR="00902D4A" w:rsidRPr="00633598" w:rsidRDefault="00902D4A">
      <w:pPr>
        <w:tabs>
          <w:tab w:val="center" w:pos="5400"/>
        </w:tabs>
        <w:suppressAutoHyphens/>
        <w:jc w:val="both"/>
        <w:rPr>
          <w:sz w:val="20"/>
        </w:rPr>
      </w:pPr>
    </w:p>
    <w:p w14:paraId="73EACB6E" w14:textId="77777777" w:rsidR="00902D4A" w:rsidRPr="00633598" w:rsidRDefault="00731898">
      <w:pPr>
        <w:tabs>
          <w:tab w:val="center" w:pos="5400"/>
        </w:tabs>
        <w:suppressAutoHyphens/>
        <w:jc w:val="center"/>
        <w:outlineLvl w:val="0"/>
        <w:rPr>
          <w:sz w:val="20"/>
        </w:rPr>
      </w:pPr>
      <w:r>
        <w:rPr>
          <w:sz w:val="20"/>
        </w:rPr>
        <w:t>Original: June 29,</w:t>
      </w:r>
      <w:r w:rsidR="00902D4A" w:rsidRPr="00633598">
        <w:rPr>
          <w:sz w:val="20"/>
        </w:rPr>
        <w:t xml:space="preserve"> 1994</w:t>
      </w:r>
    </w:p>
    <w:p w14:paraId="118B4222" w14:textId="77777777" w:rsidR="0058111C" w:rsidRDefault="00902D4A">
      <w:pPr>
        <w:pStyle w:val="Title"/>
        <w:outlineLvl w:val="0"/>
        <w:rPr>
          <w:rFonts w:ascii="Times New Roman" w:hAnsi="Times New Roman"/>
          <w:b w:val="0"/>
        </w:rPr>
      </w:pPr>
      <w:r w:rsidRPr="00633598">
        <w:rPr>
          <w:rFonts w:ascii="Times New Roman" w:hAnsi="Times New Roman"/>
          <w:b w:val="0"/>
        </w:rPr>
        <w:t>Latest Revision</w:t>
      </w:r>
      <w:r w:rsidR="00020004">
        <w:rPr>
          <w:rFonts w:ascii="Times New Roman" w:hAnsi="Times New Roman"/>
          <w:b w:val="0"/>
        </w:rPr>
        <w:t xml:space="preserve">: </w:t>
      </w:r>
      <w:r w:rsidR="004D7C99" w:rsidRPr="004D7C99">
        <w:rPr>
          <w:rFonts w:ascii="Times New Roman" w:hAnsi="Times New Roman"/>
          <w:b w:val="0"/>
        </w:rPr>
        <w:t>January 27, 2023</w:t>
      </w:r>
    </w:p>
    <w:p w14:paraId="2674DFE7" w14:textId="77777777" w:rsidR="00902D4A" w:rsidRPr="003F4F01" w:rsidRDefault="00902D4A">
      <w:pPr>
        <w:pStyle w:val="Title"/>
        <w:outlineLvl w:val="0"/>
        <w:rPr>
          <w:rFonts w:ascii="Times New Roman" w:hAnsi="Times New Roman"/>
          <w:b w:val="0"/>
          <w:sz w:val="22"/>
          <w:szCs w:val="22"/>
        </w:rPr>
      </w:pPr>
      <w:r w:rsidRPr="00633598">
        <w:rPr>
          <w:rFonts w:ascii="Times New Roman" w:hAnsi="Times New Roman"/>
        </w:rPr>
        <w:br w:type="page"/>
      </w:r>
      <w:r w:rsidRPr="003F4F01">
        <w:rPr>
          <w:rFonts w:ascii="Times New Roman" w:hAnsi="Times New Roman"/>
          <w:sz w:val="22"/>
          <w:szCs w:val="22"/>
        </w:rPr>
        <w:lastRenderedPageBreak/>
        <w:t>FOREWORD</w:t>
      </w:r>
    </w:p>
    <w:p w14:paraId="6CBE7AAE" w14:textId="77777777" w:rsidR="00902D4A" w:rsidRPr="00633598" w:rsidRDefault="00902D4A">
      <w:pPr>
        <w:pStyle w:val="Title"/>
        <w:jc w:val="both"/>
        <w:rPr>
          <w:rFonts w:ascii="Times New Roman" w:hAnsi="Times New Roman"/>
          <w:b w:val="0"/>
        </w:rPr>
      </w:pPr>
    </w:p>
    <w:p w14:paraId="62755647" w14:textId="77777777" w:rsidR="00902D4A" w:rsidRDefault="00902D4A">
      <w:pPr>
        <w:pStyle w:val="Title"/>
        <w:jc w:val="both"/>
        <w:rPr>
          <w:rFonts w:ascii="Times New Roman" w:hAnsi="Times New Roman"/>
          <w:b w:val="0"/>
          <w:sz w:val="22"/>
          <w:szCs w:val="22"/>
        </w:rPr>
      </w:pPr>
      <w:r w:rsidRPr="003F4F01">
        <w:rPr>
          <w:rFonts w:ascii="Times New Roman" w:hAnsi="Times New Roman"/>
          <w:b w:val="0"/>
          <w:sz w:val="22"/>
          <w:szCs w:val="22"/>
        </w:rPr>
        <w:t>The Standards Committee is a General Standing Committee of the Society and operates under the direction of the Board of Directors and Technology Council</w:t>
      </w:r>
      <w:r w:rsidR="00D76743">
        <w:rPr>
          <w:rFonts w:ascii="Times New Roman" w:hAnsi="Times New Roman"/>
          <w:b w:val="0"/>
          <w:sz w:val="22"/>
          <w:szCs w:val="22"/>
        </w:rPr>
        <w:t>.</w:t>
      </w:r>
    </w:p>
    <w:p w14:paraId="4A7BBF61" w14:textId="77777777" w:rsidR="00D76743" w:rsidRPr="003F4F01" w:rsidRDefault="00D76743">
      <w:pPr>
        <w:pStyle w:val="Title"/>
        <w:jc w:val="both"/>
        <w:rPr>
          <w:rFonts w:ascii="Times New Roman" w:hAnsi="Times New Roman"/>
          <w:b w:val="0"/>
          <w:sz w:val="22"/>
          <w:szCs w:val="22"/>
        </w:rPr>
      </w:pPr>
    </w:p>
    <w:p w14:paraId="0869C110" w14:textId="77777777" w:rsidR="00902D4A" w:rsidRPr="003F4F01" w:rsidRDefault="00902D4A">
      <w:pPr>
        <w:autoSpaceDE w:val="0"/>
        <w:autoSpaceDN w:val="0"/>
        <w:adjustRightInd w:val="0"/>
        <w:jc w:val="both"/>
        <w:rPr>
          <w:sz w:val="22"/>
          <w:szCs w:val="22"/>
        </w:rPr>
      </w:pPr>
      <w:r w:rsidRPr="003F4F01">
        <w:rPr>
          <w:bCs/>
          <w:sz w:val="22"/>
          <w:szCs w:val="22"/>
        </w:rPr>
        <w:t xml:space="preserve">This Manual of Procedures (MOP) is a supplement to the </w:t>
      </w:r>
      <w:r w:rsidR="003C370B">
        <w:rPr>
          <w:bCs/>
          <w:sz w:val="22"/>
          <w:szCs w:val="22"/>
        </w:rPr>
        <w:t>Rules of the Board</w:t>
      </w:r>
      <w:r w:rsidRPr="003F4F01">
        <w:rPr>
          <w:bCs/>
          <w:sz w:val="22"/>
          <w:szCs w:val="22"/>
        </w:rPr>
        <w:t xml:space="preserve"> and describes the procedures for officers, members, staff liaison and subcommittees of  the Standards Committee in order to accomplish the committee’s responsibilities and purposes.</w:t>
      </w:r>
      <w:r w:rsidRPr="003F4F01">
        <w:rPr>
          <w:b/>
          <w:sz w:val="22"/>
          <w:szCs w:val="22"/>
        </w:rPr>
        <w:t xml:space="preserve"> </w:t>
      </w:r>
    </w:p>
    <w:p w14:paraId="5C20279A" w14:textId="77777777" w:rsidR="009344D1" w:rsidRPr="003F4F01" w:rsidRDefault="009344D1" w:rsidP="00D91396">
      <w:pPr>
        <w:pStyle w:val="Title"/>
        <w:outlineLvl w:val="0"/>
        <w:rPr>
          <w:rFonts w:ascii="Times New Roman" w:hAnsi="Times New Roman"/>
          <w:b w:val="0"/>
          <w:sz w:val="22"/>
          <w:szCs w:val="22"/>
        </w:rPr>
      </w:pPr>
    </w:p>
    <w:p w14:paraId="589C1FE7" w14:textId="77777777" w:rsidR="009344D1" w:rsidRPr="003F4F01" w:rsidRDefault="009344D1" w:rsidP="009344D1">
      <w:pPr>
        <w:jc w:val="center"/>
        <w:rPr>
          <w:b/>
          <w:smallCaps/>
          <w:sz w:val="22"/>
          <w:szCs w:val="22"/>
        </w:rPr>
      </w:pPr>
    </w:p>
    <w:p w14:paraId="7880BC67" w14:textId="77777777" w:rsidR="00DC31E3" w:rsidRDefault="009344D1" w:rsidP="009344D1">
      <w:pPr>
        <w:jc w:val="center"/>
        <w:rPr>
          <w:rFonts w:ascii="Times New Roman Bold" w:hAnsi="Times New Roman Bold"/>
          <w:b/>
          <w:caps/>
          <w:sz w:val="20"/>
        </w:rPr>
      </w:pPr>
      <w:r w:rsidRPr="003F4F01">
        <w:rPr>
          <w:rFonts w:ascii="Times New Roman Bold" w:hAnsi="Times New Roman Bold"/>
          <w:b/>
          <w:caps/>
          <w:sz w:val="22"/>
          <w:szCs w:val="22"/>
        </w:rPr>
        <w:t xml:space="preserve">The </w:t>
      </w:r>
      <w:hyperlink w:anchor="changes" w:history="1">
        <w:r w:rsidRPr="003F4F01">
          <w:rPr>
            <w:rStyle w:val="Hyperlink"/>
            <w:rFonts w:ascii="Times New Roman Bold" w:hAnsi="Times New Roman Bold"/>
            <w:b/>
            <w:caps/>
            <w:sz w:val="22"/>
            <w:szCs w:val="22"/>
          </w:rPr>
          <w:t>Summary of Changes Table</w:t>
        </w:r>
      </w:hyperlink>
      <w:r w:rsidRPr="003F4F01">
        <w:rPr>
          <w:rFonts w:ascii="Times New Roman Bold" w:hAnsi="Times New Roman Bold"/>
          <w:b/>
          <w:caps/>
          <w:sz w:val="22"/>
          <w:szCs w:val="22"/>
        </w:rPr>
        <w:t xml:space="preserve"> is located at the end of the document</w:t>
      </w:r>
    </w:p>
    <w:p w14:paraId="7DC8B34D" w14:textId="77777777" w:rsidR="00DC31E3" w:rsidRPr="00DC31E3" w:rsidRDefault="00DC31E3" w:rsidP="00DC31E3">
      <w:pPr>
        <w:rPr>
          <w:rFonts w:ascii="Times New Roman Bold" w:hAnsi="Times New Roman Bold"/>
          <w:sz w:val="20"/>
        </w:rPr>
      </w:pPr>
    </w:p>
    <w:p w14:paraId="179382CB" w14:textId="77777777" w:rsidR="00DC31E3" w:rsidRPr="00DC31E3" w:rsidRDefault="00DC31E3" w:rsidP="00DC31E3">
      <w:pPr>
        <w:rPr>
          <w:rFonts w:ascii="Times New Roman Bold" w:hAnsi="Times New Roman Bold"/>
          <w:sz w:val="20"/>
        </w:rPr>
      </w:pPr>
    </w:p>
    <w:p w14:paraId="110D55EE" w14:textId="77777777" w:rsidR="00DC31E3" w:rsidRDefault="00DC31E3" w:rsidP="00DC31E3">
      <w:pPr>
        <w:rPr>
          <w:rFonts w:ascii="Times New Roman Bold" w:hAnsi="Times New Roman Bold"/>
          <w:sz w:val="20"/>
        </w:rPr>
      </w:pPr>
    </w:p>
    <w:p w14:paraId="47A63712" w14:textId="77777777" w:rsidR="00DC31E3" w:rsidRPr="00DC31E3" w:rsidRDefault="00DC31E3" w:rsidP="00DC31E3">
      <w:pPr>
        <w:rPr>
          <w:rFonts w:ascii="Times New Roman Bold" w:hAnsi="Times New Roman Bold"/>
          <w:sz w:val="20"/>
        </w:rPr>
      </w:pPr>
    </w:p>
    <w:p w14:paraId="4E9B7C70" w14:textId="77777777" w:rsidR="00DC31E3" w:rsidRDefault="00DC31E3" w:rsidP="00DC31E3">
      <w:pPr>
        <w:rPr>
          <w:rFonts w:ascii="Times New Roman Bold" w:hAnsi="Times New Roman Bold"/>
          <w:sz w:val="20"/>
        </w:rPr>
      </w:pPr>
    </w:p>
    <w:p w14:paraId="3E01B8CB" w14:textId="77777777" w:rsidR="00DC31E3" w:rsidRDefault="00DC31E3" w:rsidP="00DC31E3">
      <w:pPr>
        <w:rPr>
          <w:rFonts w:ascii="Times New Roman Bold" w:hAnsi="Times New Roman Bold"/>
          <w:sz w:val="20"/>
        </w:rPr>
      </w:pPr>
    </w:p>
    <w:p w14:paraId="631B10FF" w14:textId="77777777" w:rsidR="009344D1" w:rsidRPr="00DC31E3" w:rsidRDefault="009344D1" w:rsidP="00DC31E3">
      <w:pPr>
        <w:rPr>
          <w:rFonts w:ascii="Times New Roman Bold" w:hAnsi="Times New Roman Bold"/>
          <w:sz w:val="20"/>
        </w:rPr>
        <w:sectPr w:rsidR="009344D1" w:rsidRPr="00DC31E3" w:rsidSect="00E31244">
          <w:footerReference w:type="even" r:id="rId10"/>
          <w:footerReference w:type="default" r:id="rId11"/>
          <w:footerReference w:type="first" r:id="rId12"/>
          <w:pgSz w:w="12240" w:h="15840" w:code="1"/>
          <w:pgMar w:top="1440" w:right="1440" w:bottom="1440" w:left="1440" w:header="720" w:footer="720" w:gutter="0"/>
          <w:pgNumType w:fmt="lowerRoman" w:start="1"/>
          <w:cols w:space="720"/>
          <w:titlePg/>
        </w:sectPr>
      </w:pPr>
    </w:p>
    <w:p w14:paraId="2067EAE5" w14:textId="77777777" w:rsidR="009A53CB" w:rsidRPr="00BC1706" w:rsidRDefault="00D758F6" w:rsidP="00D91396">
      <w:pPr>
        <w:pStyle w:val="Title"/>
        <w:outlineLvl w:val="0"/>
        <w:rPr>
          <w:rFonts w:ascii="Times New Roman" w:hAnsi="Times New Roman"/>
          <w:caps/>
        </w:rPr>
      </w:pPr>
      <w:r w:rsidRPr="00BC1706">
        <w:rPr>
          <w:rFonts w:ascii="Times New Roman Bold" w:hAnsi="Times New Roman Bold"/>
          <w:caps/>
        </w:rPr>
        <w:lastRenderedPageBreak/>
        <w:t xml:space="preserve">Standards Committee </w:t>
      </w:r>
      <w:r w:rsidRPr="00BC1706">
        <w:rPr>
          <w:rFonts w:ascii="Times New Roman" w:hAnsi="Times New Roman"/>
          <w:caps/>
        </w:rPr>
        <w:t>MANUAL OF PROCEDURES</w:t>
      </w:r>
    </w:p>
    <w:p w14:paraId="4DAB0804" w14:textId="77777777" w:rsidR="00902D4A" w:rsidRPr="00BC1706" w:rsidRDefault="00902D4A" w:rsidP="00D91396">
      <w:pPr>
        <w:pStyle w:val="Title"/>
        <w:outlineLvl w:val="0"/>
        <w:rPr>
          <w:rFonts w:ascii="Times New Roman" w:hAnsi="Times New Roman"/>
          <w:caps/>
        </w:rPr>
      </w:pPr>
      <w:r w:rsidRPr="00BC1706">
        <w:rPr>
          <w:rFonts w:ascii="Times New Roman" w:hAnsi="Times New Roman"/>
          <w:caps/>
        </w:rPr>
        <w:t>TABLE OF CONTENTS</w:t>
      </w:r>
    </w:p>
    <w:p w14:paraId="355F5D77" w14:textId="77777777" w:rsidR="00902D4A" w:rsidRPr="00BC1706" w:rsidRDefault="00902D4A">
      <w:pPr>
        <w:pStyle w:val="Title"/>
        <w:jc w:val="left"/>
        <w:rPr>
          <w:rFonts w:ascii="Times New Roman" w:hAnsi="Times New Roman"/>
          <w:caps/>
        </w:rPr>
      </w:pPr>
    </w:p>
    <w:p w14:paraId="336E45CA" w14:textId="49C2D728" w:rsidR="001560C0" w:rsidRDefault="00244B45" w:rsidP="001560C0">
      <w:pPr>
        <w:pStyle w:val="TOC1"/>
        <w:rPr>
          <w:rFonts w:asciiTheme="minorHAnsi" w:eastAsiaTheme="minorEastAsia" w:hAnsiTheme="minorHAnsi" w:cstheme="minorBidi"/>
          <w:sz w:val="22"/>
          <w:szCs w:val="22"/>
        </w:rPr>
      </w:pPr>
      <w:r w:rsidRPr="00BC1706">
        <w:fldChar w:fldCharType="begin"/>
      </w:r>
      <w:r w:rsidRPr="00BC1706">
        <w:instrText xml:space="preserve"> TOC \o "1-3" </w:instrText>
      </w:r>
      <w:r w:rsidRPr="00BC1706">
        <w:fldChar w:fldCharType="separate"/>
      </w:r>
      <w:r w:rsidR="001560C0">
        <w:t>1 Standards Committee - General</w:t>
      </w:r>
      <w:r w:rsidR="001560C0">
        <w:tab/>
      </w:r>
      <w:r w:rsidR="001560C0">
        <w:fldChar w:fldCharType="begin"/>
      </w:r>
      <w:r w:rsidR="001560C0">
        <w:instrText xml:space="preserve"> PAGEREF _Toc132295450 \h </w:instrText>
      </w:r>
      <w:r w:rsidR="001560C0">
        <w:fldChar w:fldCharType="separate"/>
      </w:r>
      <w:r w:rsidR="001560C0">
        <w:t>4</w:t>
      </w:r>
      <w:r w:rsidR="001560C0">
        <w:fldChar w:fldCharType="end"/>
      </w:r>
    </w:p>
    <w:p w14:paraId="28782849" w14:textId="3D0396F5" w:rsidR="001560C0" w:rsidRDefault="001560C0">
      <w:pPr>
        <w:pStyle w:val="TOC2"/>
        <w:rPr>
          <w:rFonts w:asciiTheme="minorHAnsi" w:eastAsiaTheme="minorEastAsia" w:hAnsiTheme="minorHAnsi" w:cstheme="minorBidi"/>
          <w:noProof/>
          <w:sz w:val="22"/>
          <w:szCs w:val="22"/>
        </w:rPr>
      </w:pPr>
      <w:r>
        <w:rPr>
          <w:noProof/>
        </w:rPr>
        <w:t>1.1 Responsibilities/Duties</w:t>
      </w:r>
      <w:r>
        <w:rPr>
          <w:noProof/>
        </w:rPr>
        <w:tab/>
      </w:r>
      <w:r>
        <w:rPr>
          <w:noProof/>
        </w:rPr>
        <w:fldChar w:fldCharType="begin"/>
      </w:r>
      <w:r>
        <w:rPr>
          <w:noProof/>
        </w:rPr>
        <w:instrText xml:space="preserve"> PAGEREF _Toc132295451 \h </w:instrText>
      </w:r>
      <w:r>
        <w:rPr>
          <w:noProof/>
        </w:rPr>
      </w:r>
      <w:r>
        <w:rPr>
          <w:noProof/>
        </w:rPr>
        <w:fldChar w:fldCharType="separate"/>
      </w:r>
      <w:r>
        <w:rPr>
          <w:noProof/>
        </w:rPr>
        <w:t>4</w:t>
      </w:r>
      <w:r>
        <w:rPr>
          <w:noProof/>
        </w:rPr>
        <w:fldChar w:fldCharType="end"/>
      </w:r>
    </w:p>
    <w:p w14:paraId="24AE3118" w14:textId="6A1336EC" w:rsidR="001560C0" w:rsidRDefault="001560C0">
      <w:pPr>
        <w:pStyle w:val="TOC2"/>
        <w:rPr>
          <w:rFonts w:asciiTheme="minorHAnsi" w:eastAsiaTheme="minorEastAsia" w:hAnsiTheme="minorHAnsi" w:cstheme="minorBidi"/>
          <w:noProof/>
          <w:sz w:val="22"/>
          <w:szCs w:val="22"/>
        </w:rPr>
      </w:pPr>
      <w:r>
        <w:rPr>
          <w:noProof/>
        </w:rPr>
        <w:t xml:space="preserve">1.1.5 </w:t>
      </w:r>
      <w:r w:rsidRPr="00F53337">
        <w:rPr>
          <w:noProof/>
        </w:rPr>
        <w:t>Emergency Interim Standards Action</w:t>
      </w:r>
      <w:r>
        <w:rPr>
          <w:noProof/>
        </w:rPr>
        <w:tab/>
      </w:r>
      <w:r>
        <w:rPr>
          <w:noProof/>
        </w:rPr>
        <w:fldChar w:fldCharType="begin"/>
      </w:r>
      <w:r>
        <w:rPr>
          <w:noProof/>
        </w:rPr>
        <w:instrText xml:space="preserve"> PAGEREF _Toc132295452 \h </w:instrText>
      </w:r>
      <w:r>
        <w:rPr>
          <w:noProof/>
        </w:rPr>
      </w:r>
      <w:r>
        <w:rPr>
          <w:noProof/>
        </w:rPr>
        <w:fldChar w:fldCharType="separate"/>
      </w:r>
      <w:r>
        <w:rPr>
          <w:noProof/>
        </w:rPr>
        <w:t>5</w:t>
      </w:r>
      <w:r>
        <w:rPr>
          <w:noProof/>
        </w:rPr>
        <w:fldChar w:fldCharType="end"/>
      </w:r>
    </w:p>
    <w:p w14:paraId="499E1E84" w14:textId="0C375B85" w:rsidR="001560C0" w:rsidRDefault="001560C0">
      <w:pPr>
        <w:pStyle w:val="TOC2"/>
        <w:rPr>
          <w:rFonts w:asciiTheme="minorHAnsi" w:eastAsiaTheme="minorEastAsia" w:hAnsiTheme="minorHAnsi" w:cstheme="minorBidi"/>
          <w:noProof/>
          <w:sz w:val="22"/>
          <w:szCs w:val="22"/>
        </w:rPr>
      </w:pPr>
      <w:r>
        <w:rPr>
          <w:noProof/>
        </w:rPr>
        <w:t>1.2 Membership</w:t>
      </w:r>
      <w:r>
        <w:rPr>
          <w:noProof/>
        </w:rPr>
        <w:tab/>
      </w:r>
      <w:r>
        <w:rPr>
          <w:noProof/>
        </w:rPr>
        <w:fldChar w:fldCharType="begin"/>
      </w:r>
      <w:r>
        <w:rPr>
          <w:noProof/>
        </w:rPr>
        <w:instrText xml:space="preserve"> PAGEREF _Toc132295453 \h </w:instrText>
      </w:r>
      <w:r>
        <w:rPr>
          <w:noProof/>
        </w:rPr>
      </w:r>
      <w:r>
        <w:rPr>
          <w:noProof/>
        </w:rPr>
        <w:fldChar w:fldCharType="separate"/>
      </w:r>
      <w:r>
        <w:rPr>
          <w:noProof/>
        </w:rPr>
        <w:t>5</w:t>
      </w:r>
      <w:r>
        <w:rPr>
          <w:noProof/>
        </w:rPr>
        <w:fldChar w:fldCharType="end"/>
      </w:r>
    </w:p>
    <w:p w14:paraId="52057BA7" w14:textId="4C5F4A51" w:rsidR="001560C0" w:rsidRDefault="001560C0">
      <w:pPr>
        <w:pStyle w:val="TOC2"/>
        <w:rPr>
          <w:rFonts w:asciiTheme="minorHAnsi" w:eastAsiaTheme="minorEastAsia" w:hAnsiTheme="minorHAnsi" w:cstheme="minorBidi"/>
          <w:noProof/>
          <w:sz w:val="22"/>
          <w:szCs w:val="22"/>
        </w:rPr>
      </w:pPr>
      <w:r>
        <w:rPr>
          <w:noProof/>
        </w:rPr>
        <w:t>1.3 Meetings</w:t>
      </w:r>
      <w:r>
        <w:rPr>
          <w:noProof/>
        </w:rPr>
        <w:tab/>
      </w:r>
      <w:r>
        <w:rPr>
          <w:noProof/>
        </w:rPr>
        <w:fldChar w:fldCharType="begin"/>
      </w:r>
      <w:r>
        <w:rPr>
          <w:noProof/>
        </w:rPr>
        <w:instrText xml:space="preserve"> PAGEREF _Toc132295454 \h </w:instrText>
      </w:r>
      <w:r>
        <w:rPr>
          <w:noProof/>
        </w:rPr>
      </w:r>
      <w:r>
        <w:rPr>
          <w:noProof/>
        </w:rPr>
        <w:fldChar w:fldCharType="separate"/>
      </w:r>
      <w:r>
        <w:rPr>
          <w:noProof/>
        </w:rPr>
        <w:t>5</w:t>
      </w:r>
      <w:r>
        <w:rPr>
          <w:noProof/>
        </w:rPr>
        <w:fldChar w:fldCharType="end"/>
      </w:r>
    </w:p>
    <w:p w14:paraId="37659D5F" w14:textId="6FC0AB9C" w:rsidR="001560C0" w:rsidRDefault="001560C0">
      <w:pPr>
        <w:pStyle w:val="TOC2"/>
        <w:rPr>
          <w:rFonts w:asciiTheme="minorHAnsi" w:eastAsiaTheme="minorEastAsia" w:hAnsiTheme="minorHAnsi" w:cstheme="minorBidi"/>
          <w:noProof/>
          <w:sz w:val="22"/>
          <w:szCs w:val="22"/>
        </w:rPr>
      </w:pPr>
      <w:r>
        <w:rPr>
          <w:noProof/>
        </w:rPr>
        <w:t>1.4 Quorum</w:t>
      </w:r>
      <w:r>
        <w:rPr>
          <w:noProof/>
        </w:rPr>
        <w:tab/>
      </w:r>
      <w:r>
        <w:rPr>
          <w:noProof/>
        </w:rPr>
        <w:fldChar w:fldCharType="begin"/>
      </w:r>
      <w:r>
        <w:rPr>
          <w:noProof/>
        </w:rPr>
        <w:instrText xml:space="preserve"> PAGEREF _Toc132295455 \h </w:instrText>
      </w:r>
      <w:r>
        <w:rPr>
          <w:noProof/>
        </w:rPr>
      </w:r>
      <w:r>
        <w:rPr>
          <w:noProof/>
        </w:rPr>
        <w:fldChar w:fldCharType="separate"/>
      </w:r>
      <w:r>
        <w:rPr>
          <w:noProof/>
        </w:rPr>
        <w:t>5</w:t>
      </w:r>
      <w:r>
        <w:rPr>
          <w:noProof/>
        </w:rPr>
        <w:fldChar w:fldCharType="end"/>
      </w:r>
    </w:p>
    <w:p w14:paraId="505307F9" w14:textId="4E06A506" w:rsidR="001560C0" w:rsidRDefault="001560C0">
      <w:pPr>
        <w:pStyle w:val="TOC2"/>
        <w:rPr>
          <w:rFonts w:asciiTheme="minorHAnsi" w:eastAsiaTheme="minorEastAsia" w:hAnsiTheme="minorHAnsi" w:cstheme="minorBidi"/>
          <w:noProof/>
          <w:sz w:val="22"/>
          <w:szCs w:val="22"/>
        </w:rPr>
      </w:pPr>
      <w:r>
        <w:rPr>
          <w:noProof/>
        </w:rPr>
        <w:t>1.5 Operating Procedures</w:t>
      </w:r>
      <w:r>
        <w:rPr>
          <w:noProof/>
        </w:rPr>
        <w:tab/>
      </w:r>
      <w:r>
        <w:rPr>
          <w:noProof/>
        </w:rPr>
        <w:fldChar w:fldCharType="begin"/>
      </w:r>
      <w:r>
        <w:rPr>
          <w:noProof/>
        </w:rPr>
        <w:instrText xml:space="preserve"> PAGEREF _Toc132295456 \h </w:instrText>
      </w:r>
      <w:r>
        <w:rPr>
          <w:noProof/>
        </w:rPr>
      </w:r>
      <w:r>
        <w:rPr>
          <w:noProof/>
        </w:rPr>
        <w:fldChar w:fldCharType="separate"/>
      </w:r>
      <w:r>
        <w:rPr>
          <w:noProof/>
        </w:rPr>
        <w:t>5</w:t>
      </w:r>
      <w:r>
        <w:rPr>
          <w:noProof/>
        </w:rPr>
        <w:fldChar w:fldCharType="end"/>
      </w:r>
    </w:p>
    <w:p w14:paraId="1C65B9B8" w14:textId="392A6975" w:rsidR="001560C0" w:rsidRDefault="001560C0">
      <w:pPr>
        <w:pStyle w:val="TOC2"/>
        <w:rPr>
          <w:rFonts w:asciiTheme="minorHAnsi" w:eastAsiaTheme="minorEastAsia" w:hAnsiTheme="minorHAnsi" w:cstheme="minorBidi"/>
          <w:noProof/>
          <w:sz w:val="22"/>
          <w:szCs w:val="22"/>
        </w:rPr>
      </w:pPr>
      <w:r w:rsidRPr="00F53337">
        <w:rPr>
          <w:noProof/>
        </w:rPr>
        <w:t>1.6 Voting</w:t>
      </w:r>
      <w:r>
        <w:rPr>
          <w:noProof/>
        </w:rPr>
        <w:tab/>
      </w:r>
      <w:r>
        <w:rPr>
          <w:noProof/>
        </w:rPr>
        <w:fldChar w:fldCharType="begin"/>
      </w:r>
      <w:r>
        <w:rPr>
          <w:noProof/>
        </w:rPr>
        <w:instrText xml:space="preserve"> PAGEREF _Toc132295457 \h </w:instrText>
      </w:r>
      <w:r>
        <w:rPr>
          <w:noProof/>
        </w:rPr>
      </w:r>
      <w:r>
        <w:rPr>
          <w:noProof/>
        </w:rPr>
        <w:fldChar w:fldCharType="separate"/>
      </w:r>
      <w:r>
        <w:rPr>
          <w:noProof/>
        </w:rPr>
        <w:t>6</w:t>
      </w:r>
      <w:r>
        <w:rPr>
          <w:noProof/>
        </w:rPr>
        <w:fldChar w:fldCharType="end"/>
      </w:r>
    </w:p>
    <w:p w14:paraId="05928EA8" w14:textId="4EB8F412" w:rsidR="001560C0" w:rsidRDefault="001560C0">
      <w:pPr>
        <w:pStyle w:val="TOC2"/>
        <w:rPr>
          <w:rFonts w:asciiTheme="minorHAnsi" w:eastAsiaTheme="minorEastAsia" w:hAnsiTheme="minorHAnsi" w:cstheme="minorBidi"/>
          <w:noProof/>
          <w:sz w:val="22"/>
          <w:szCs w:val="22"/>
        </w:rPr>
      </w:pPr>
      <w:r w:rsidRPr="00F53337">
        <w:rPr>
          <w:noProof/>
        </w:rPr>
        <w:t>1.7 Complaints of Actions or Inactions by the StdC, its Subcommittees or PCs</w:t>
      </w:r>
      <w:r>
        <w:rPr>
          <w:noProof/>
        </w:rPr>
        <w:tab/>
      </w:r>
      <w:r>
        <w:rPr>
          <w:noProof/>
        </w:rPr>
        <w:fldChar w:fldCharType="begin"/>
      </w:r>
      <w:r>
        <w:rPr>
          <w:noProof/>
        </w:rPr>
        <w:instrText xml:space="preserve"> PAGEREF _Toc132295458 \h </w:instrText>
      </w:r>
      <w:r>
        <w:rPr>
          <w:noProof/>
        </w:rPr>
      </w:r>
      <w:r>
        <w:rPr>
          <w:noProof/>
        </w:rPr>
        <w:fldChar w:fldCharType="separate"/>
      </w:r>
      <w:r>
        <w:rPr>
          <w:noProof/>
        </w:rPr>
        <w:t>6</w:t>
      </w:r>
      <w:r>
        <w:rPr>
          <w:noProof/>
        </w:rPr>
        <w:fldChar w:fldCharType="end"/>
      </w:r>
    </w:p>
    <w:p w14:paraId="62776918" w14:textId="7AE17087" w:rsidR="001560C0" w:rsidRDefault="001560C0" w:rsidP="001560C0">
      <w:pPr>
        <w:pStyle w:val="TOC1"/>
        <w:rPr>
          <w:rFonts w:asciiTheme="minorHAnsi" w:eastAsiaTheme="minorEastAsia" w:hAnsiTheme="minorHAnsi" w:cstheme="minorBidi"/>
          <w:sz w:val="22"/>
          <w:szCs w:val="22"/>
        </w:rPr>
      </w:pPr>
      <w:r>
        <w:t>2 BOD EX-OFFICIO MEMBER</w:t>
      </w:r>
      <w:r>
        <w:tab/>
      </w:r>
      <w:r>
        <w:fldChar w:fldCharType="begin"/>
      </w:r>
      <w:r>
        <w:instrText xml:space="preserve"> PAGEREF _Toc132295459 \h </w:instrText>
      </w:r>
      <w:r>
        <w:fldChar w:fldCharType="separate"/>
      </w:r>
      <w:r>
        <w:t>6</w:t>
      </w:r>
      <w:r>
        <w:fldChar w:fldCharType="end"/>
      </w:r>
    </w:p>
    <w:p w14:paraId="1A07A20D" w14:textId="74BCE3C9" w:rsidR="001560C0" w:rsidRDefault="001560C0" w:rsidP="001560C0">
      <w:pPr>
        <w:pStyle w:val="TOC1"/>
        <w:rPr>
          <w:rFonts w:asciiTheme="minorHAnsi" w:eastAsiaTheme="minorEastAsia" w:hAnsiTheme="minorHAnsi" w:cstheme="minorBidi"/>
          <w:sz w:val="22"/>
          <w:szCs w:val="22"/>
        </w:rPr>
      </w:pPr>
      <w:r>
        <w:t>3 Coordinating Officer</w:t>
      </w:r>
      <w:r>
        <w:tab/>
      </w:r>
      <w:r>
        <w:fldChar w:fldCharType="begin"/>
      </w:r>
      <w:r>
        <w:instrText xml:space="preserve"> PAGEREF _Toc132295460 \h </w:instrText>
      </w:r>
      <w:r>
        <w:fldChar w:fldCharType="separate"/>
      </w:r>
      <w:r>
        <w:t>6</w:t>
      </w:r>
      <w:r>
        <w:fldChar w:fldCharType="end"/>
      </w:r>
    </w:p>
    <w:p w14:paraId="31E08884" w14:textId="3858BCB5" w:rsidR="001560C0" w:rsidRDefault="001560C0" w:rsidP="001560C0">
      <w:pPr>
        <w:pStyle w:val="TOC1"/>
        <w:rPr>
          <w:rFonts w:asciiTheme="minorHAnsi" w:eastAsiaTheme="minorEastAsia" w:hAnsiTheme="minorHAnsi" w:cstheme="minorBidi"/>
          <w:sz w:val="22"/>
          <w:szCs w:val="22"/>
        </w:rPr>
      </w:pPr>
      <w:r>
        <w:t>4 Standards Committee Chair and Vice Chair</w:t>
      </w:r>
      <w:r>
        <w:tab/>
      </w:r>
      <w:r>
        <w:fldChar w:fldCharType="begin"/>
      </w:r>
      <w:r>
        <w:instrText xml:space="preserve"> PAGEREF _Toc132295461 \h </w:instrText>
      </w:r>
      <w:r>
        <w:fldChar w:fldCharType="separate"/>
      </w:r>
      <w:r>
        <w:t>6</w:t>
      </w:r>
      <w:r>
        <w:fldChar w:fldCharType="end"/>
      </w:r>
    </w:p>
    <w:p w14:paraId="0DE207D9" w14:textId="3E674D48" w:rsidR="001560C0" w:rsidRDefault="001560C0">
      <w:pPr>
        <w:pStyle w:val="TOC2"/>
        <w:rPr>
          <w:rFonts w:asciiTheme="minorHAnsi" w:eastAsiaTheme="minorEastAsia" w:hAnsiTheme="minorHAnsi" w:cstheme="minorBidi"/>
          <w:noProof/>
          <w:sz w:val="22"/>
          <w:szCs w:val="22"/>
        </w:rPr>
      </w:pPr>
      <w:r w:rsidRPr="00F53337">
        <w:rPr>
          <w:noProof/>
        </w:rPr>
        <w:t>4.1 Responsibilities/Duties of Chair</w:t>
      </w:r>
      <w:r>
        <w:rPr>
          <w:noProof/>
        </w:rPr>
        <w:tab/>
      </w:r>
      <w:r>
        <w:rPr>
          <w:noProof/>
        </w:rPr>
        <w:fldChar w:fldCharType="begin"/>
      </w:r>
      <w:r>
        <w:rPr>
          <w:noProof/>
        </w:rPr>
        <w:instrText xml:space="preserve"> PAGEREF _Toc132295462 \h </w:instrText>
      </w:r>
      <w:r>
        <w:rPr>
          <w:noProof/>
        </w:rPr>
      </w:r>
      <w:r>
        <w:rPr>
          <w:noProof/>
        </w:rPr>
        <w:fldChar w:fldCharType="separate"/>
      </w:r>
      <w:r>
        <w:rPr>
          <w:noProof/>
        </w:rPr>
        <w:t>6</w:t>
      </w:r>
      <w:r>
        <w:rPr>
          <w:noProof/>
        </w:rPr>
        <w:fldChar w:fldCharType="end"/>
      </w:r>
    </w:p>
    <w:p w14:paraId="3353C5C8" w14:textId="7C0BD53E" w:rsidR="001560C0" w:rsidRDefault="001560C0">
      <w:pPr>
        <w:pStyle w:val="TOC2"/>
        <w:rPr>
          <w:rFonts w:asciiTheme="minorHAnsi" w:eastAsiaTheme="minorEastAsia" w:hAnsiTheme="minorHAnsi" w:cstheme="minorBidi"/>
          <w:noProof/>
          <w:sz w:val="22"/>
          <w:szCs w:val="22"/>
        </w:rPr>
      </w:pPr>
      <w:r w:rsidRPr="00F53337">
        <w:rPr>
          <w:noProof/>
        </w:rPr>
        <w:t>4.2 Responsibilities/Duties of Vice Chair</w:t>
      </w:r>
      <w:r>
        <w:rPr>
          <w:noProof/>
        </w:rPr>
        <w:tab/>
      </w:r>
      <w:r>
        <w:rPr>
          <w:noProof/>
        </w:rPr>
        <w:fldChar w:fldCharType="begin"/>
      </w:r>
      <w:r>
        <w:rPr>
          <w:noProof/>
        </w:rPr>
        <w:instrText xml:space="preserve"> PAGEREF _Toc132295463 \h </w:instrText>
      </w:r>
      <w:r>
        <w:rPr>
          <w:noProof/>
        </w:rPr>
      </w:r>
      <w:r>
        <w:rPr>
          <w:noProof/>
        </w:rPr>
        <w:fldChar w:fldCharType="separate"/>
      </w:r>
      <w:r>
        <w:rPr>
          <w:noProof/>
        </w:rPr>
        <w:t>7</w:t>
      </w:r>
      <w:r>
        <w:rPr>
          <w:noProof/>
        </w:rPr>
        <w:fldChar w:fldCharType="end"/>
      </w:r>
    </w:p>
    <w:p w14:paraId="2FD75B1B" w14:textId="670F1C76" w:rsidR="001560C0" w:rsidRDefault="001560C0" w:rsidP="001560C0">
      <w:pPr>
        <w:pStyle w:val="TOC1"/>
        <w:rPr>
          <w:rFonts w:asciiTheme="minorHAnsi" w:eastAsiaTheme="minorEastAsia" w:hAnsiTheme="minorHAnsi" w:cstheme="minorBidi"/>
          <w:sz w:val="22"/>
          <w:szCs w:val="22"/>
        </w:rPr>
      </w:pPr>
      <w:r>
        <w:t>5 Staff Liaison</w:t>
      </w:r>
      <w:r>
        <w:tab/>
      </w:r>
      <w:r>
        <w:fldChar w:fldCharType="begin"/>
      </w:r>
      <w:r>
        <w:instrText xml:space="preserve"> PAGEREF _Toc132295464 \h </w:instrText>
      </w:r>
      <w:r>
        <w:fldChar w:fldCharType="separate"/>
      </w:r>
      <w:r>
        <w:t>7</w:t>
      </w:r>
      <w:r>
        <w:fldChar w:fldCharType="end"/>
      </w:r>
    </w:p>
    <w:p w14:paraId="73CEDF4A" w14:textId="3614FE7B" w:rsidR="001560C0" w:rsidRDefault="001560C0">
      <w:pPr>
        <w:pStyle w:val="TOC2"/>
        <w:rPr>
          <w:rFonts w:asciiTheme="minorHAnsi" w:eastAsiaTheme="minorEastAsia" w:hAnsiTheme="minorHAnsi" w:cstheme="minorBidi"/>
          <w:noProof/>
          <w:sz w:val="22"/>
          <w:szCs w:val="22"/>
        </w:rPr>
      </w:pPr>
      <w:r w:rsidRPr="00F53337">
        <w:rPr>
          <w:rFonts w:ascii="Times New Roman Bold" w:hAnsi="Times New Roman Bold"/>
          <w:caps/>
          <w:noProof/>
        </w:rPr>
        <w:t>5.1 LIAISON</w:t>
      </w:r>
      <w:r>
        <w:rPr>
          <w:noProof/>
        </w:rPr>
        <w:tab/>
      </w:r>
      <w:r>
        <w:rPr>
          <w:noProof/>
        </w:rPr>
        <w:fldChar w:fldCharType="begin"/>
      </w:r>
      <w:r>
        <w:rPr>
          <w:noProof/>
        </w:rPr>
        <w:instrText xml:space="preserve"> PAGEREF _Toc132295465 \h </w:instrText>
      </w:r>
      <w:r>
        <w:rPr>
          <w:noProof/>
        </w:rPr>
      </w:r>
      <w:r>
        <w:rPr>
          <w:noProof/>
        </w:rPr>
        <w:fldChar w:fldCharType="separate"/>
      </w:r>
      <w:r>
        <w:rPr>
          <w:noProof/>
        </w:rPr>
        <w:t>7</w:t>
      </w:r>
      <w:r>
        <w:rPr>
          <w:noProof/>
        </w:rPr>
        <w:fldChar w:fldCharType="end"/>
      </w:r>
    </w:p>
    <w:p w14:paraId="62591AD5" w14:textId="76275D74" w:rsidR="001560C0" w:rsidRDefault="001560C0" w:rsidP="001560C0">
      <w:pPr>
        <w:pStyle w:val="TOC1"/>
        <w:rPr>
          <w:rFonts w:asciiTheme="minorHAnsi" w:eastAsiaTheme="minorEastAsia" w:hAnsiTheme="minorHAnsi" w:cstheme="minorBidi"/>
          <w:sz w:val="22"/>
          <w:szCs w:val="22"/>
        </w:rPr>
      </w:pPr>
      <w:r>
        <w:t>6 Subcommittees</w:t>
      </w:r>
      <w:r>
        <w:tab/>
      </w:r>
      <w:r>
        <w:fldChar w:fldCharType="begin"/>
      </w:r>
      <w:r>
        <w:instrText xml:space="preserve"> PAGEREF _Toc132295466 \h </w:instrText>
      </w:r>
      <w:r>
        <w:fldChar w:fldCharType="separate"/>
      </w:r>
      <w:r>
        <w:t>7</w:t>
      </w:r>
      <w:r>
        <w:fldChar w:fldCharType="end"/>
      </w:r>
    </w:p>
    <w:p w14:paraId="0F674E73" w14:textId="268A20CB" w:rsidR="001560C0" w:rsidRDefault="001560C0">
      <w:pPr>
        <w:pStyle w:val="TOC2"/>
        <w:rPr>
          <w:rFonts w:asciiTheme="minorHAnsi" w:eastAsiaTheme="minorEastAsia" w:hAnsiTheme="minorHAnsi" w:cstheme="minorBidi"/>
          <w:noProof/>
          <w:sz w:val="22"/>
          <w:szCs w:val="22"/>
        </w:rPr>
      </w:pPr>
      <w:r w:rsidRPr="00F53337">
        <w:rPr>
          <w:rFonts w:ascii="Times New Roman Bold" w:hAnsi="Times New Roman Bold"/>
          <w:caps/>
          <w:noProof/>
        </w:rPr>
        <w:t>6.1 Executive Committee</w:t>
      </w:r>
      <w:r>
        <w:rPr>
          <w:noProof/>
        </w:rPr>
        <w:tab/>
      </w:r>
      <w:r>
        <w:rPr>
          <w:noProof/>
        </w:rPr>
        <w:fldChar w:fldCharType="begin"/>
      </w:r>
      <w:r>
        <w:rPr>
          <w:noProof/>
        </w:rPr>
        <w:instrText xml:space="preserve"> PAGEREF _Toc132295467 \h </w:instrText>
      </w:r>
      <w:r>
        <w:rPr>
          <w:noProof/>
        </w:rPr>
      </w:r>
      <w:r>
        <w:rPr>
          <w:noProof/>
        </w:rPr>
        <w:fldChar w:fldCharType="separate"/>
      </w:r>
      <w:r>
        <w:rPr>
          <w:noProof/>
        </w:rPr>
        <w:t>7</w:t>
      </w:r>
      <w:r>
        <w:rPr>
          <w:noProof/>
        </w:rPr>
        <w:fldChar w:fldCharType="end"/>
      </w:r>
    </w:p>
    <w:p w14:paraId="093948EE" w14:textId="35D11BB9" w:rsidR="001560C0" w:rsidRDefault="001560C0">
      <w:pPr>
        <w:pStyle w:val="TOC2"/>
        <w:rPr>
          <w:rFonts w:asciiTheme="minorHAnsi" w:eastAsiaTheme="minorEastAsia" w:hAnsiTheme="minorHAnsi" w:cstheme="minorBidi"/>
          <w:noProof/>
          <w:sz w:val="22"/>
          <w:szCs w:val="22"/>
        </w:rPr>
      </w:pPr>
      <w:r w:rsidRPr="00F53337">
        <w:rPr>
          <w:rFonts w:ascii="Times New Roman Bold" w:hAnsi="Times New Roman Bold"/>
          <w:caps/>
          <w:noProof/>
        </w:rPr>
        <w:t>6.2 Standing Subcommittees</w:t>
      </w:r>
      <w:r>
        <w:rPr>
          <w:noProof/>
        </w:rPr>
        <w:tab/>
      </w:r>
      <w:r>
        <w:rPr>
          <w:noProof/>
        </w:rPr>
        <w:fldChar w:fldCharType="begin"/>
      </w:r>
      <w:r>
        <w:rPr>
          <w:noProof/>
        </w:rPr>
        <w:instrText xml:space="preserve"> PAGEREF _Toc132295468 \h </w:instrText>
      </w:r>
      <w:r>
        <w:rPr>
          <w:noProof/>
        </w:rPr>
      </w:r>
      <w:r>
        <w:rPr>
          <w:noProof/>
        </w:rPr>
        <w:fldChar w:fldCharType="separate"/>
      </w:r>
      <w:r>
        <w:rPr>
          <w:noProof/>
        </w:rPr>
        <w:t>7</w:t>
      </w:r>
      <w:r>
        <w:rPr>
          <w:noProof/>
        </w:rPr>
        <w:fldChar w:fldCharType="end"/>
      </w:r>
    </w:p>
    <w:p w14:paraId="75AF79F2" w14:textId="32495F9D" w:rsidR="001560C0" w:rsidRDefault="001560C0" w:rsidP="001560C0">
      <w:pPr>
        <w:pStyle w:val="TOC1"/>
        <w:rPr>
          <w:rFonts w:asciiTheme="minorHAnsi" w:eastAsiaTheme="minorEastAsia" w:hAnsiTheme="minorHAnsi" w:cstheme="minorBidi"/>
          <w:sz w:val="22"/>
          <w:szCs w:val="22"/>
        </w:rPr>
      </w:pPr>
      <w:r>
        <w:t>7 Approval SEQUENCE of Standards related actions</w:t>
      </w:r>
      <w:r>
        <w:tab/>
      </w:r>
      <w:r>
        <w:fldChar w:fldCharType="begin"/>
      </w:r>
      <w:r>
        <w:instrText xml:space="preserve"> PAGEREF _Toc132295469 \h </w:instrText>
      </w:r>
      <w:r>
        <w:fldChar w:fldCharType="separate"/>
      </w:r>
      <w:r>
        <w:t>9</w:t>
      </w:r>
      <w:r>
        <w:fldChar w:fldCharType="end"/>
      </w:r>
    </w:p>
    <w:p w14:paraId="67E62E8D" w14:textId="48C2DB43" w:rsidR="001560C0" w:rsidRDefault="001560C0" w:rsidP="001560C0">
      <w:pPr>
        <w:pStyle w:val="TOC1"/>
        <w:rPr>
          <w:rFonts w:asciiTheme="minorHAnsi" w:eastAsiaTheme="minorEastAsia" w:hAnsiTheme="minorHAnsi" w:cstheme="minorBidi"/>
          <w:sz w:val="22"/>
          <w:szCs w:val="22"/>
        </w:rPr>
      </w:pPr>
      <w:r>
        <w:t>APPENDIX Summary of StdC MOP Changes</w:t>
      </w:r>
      <w:r>
        <w:tab/>
      </w:r>
      <w:r>
        <w:fldChar w:fldCharType="begin"/>
      </w:r>
      <w:r>
        <w:instrText xml:space="preserve"> PAGEREF _Toc132295470 \h </w:instrText>
      </w:r>
      <w:r>
        <w:fldChar w:fldCharType="separate"/>
      </w:r>
      <w:r>
        <w:t>13</w:t>
      </w:r>
      <w:r>
        <w:fldChar w:fldCharType="end"/>
      </w:r>
    </w:p>
    <w:p w14:paraId="2DD8C972" w14:textId="492C4DF8" w:rsidR="00902D4A" w:rsidRPr="00633598" w:rsidRDefault="00244B45" w:rsidP="001560C0">
      <w:pPr>
        <w:pStyle w:val="TOC1"/>
        <w:sectPr w:rsidR="00902D4A" w:rsidRPr="00633598" w:rsidSect="008D54F5">
          <w:footerReference w:type="even" r:id="rId13"/>
          <w:footerReference w:type="default" r:id="rId14"/>
          <w:pgSz w:w="12240" w:h="15840" w:code="1"/>
          <w:pgMar w:top="1440" w:right="1152" w:bottom="1440" w:left="1152" w:header="720" w:footer="720" w:gutter="0"/>
          <w:cols w:space="720"/>
          <w:titlePg/>
        </w:sectPr>
      </w:pPr>
      <w:r w:rsidRPr="00BC1706">
        <w:fldChar w:fldCharType="end"/>
      </w:r>
    </w:p>
    <w:p w14:paraId="70B4F0A7" w14:textId="77777777" w:rsidR="000A7B24" w:rsidRDefault="000A7B24" w:rsidP="00747C6D">
      <w:pPr>
        <w:jc w:val="center"/>
        <w:rPr>
          <w:rFonts w:ascii="Times New Roman Bold" w:hAnsi="Times New Roman Bold"/>
          <w:b/>
          <w:caps/>
          <w:sz w:val="22"/>
          <w:szCs w:val="22"/>
        </w:rPr>
      </w:pPr>
    </w:p>
    <w:p w14:paraId="6881397E" w14:textId="77777777" w:rsidR="000A7B24" w:rsidRDefault="000A7B24" w:rsidP="00747C6D">
      <w:pPr>
        <w:jc w:val="center"/>
        <w:rPr>
          <w:rFonts w:ascii="Times New Roman Bold" w:hAnsi="Times New Roman Bold"/>
          <w:b/>
          <w:caps/>
          <w:sz w:val="22"/>
          <w:szCs w:val="22"/>
        </w:rPr>
      </w:pPr>
    </w:p>
    <w:p w14:paraId="4087764F" w14:textId="77777777" w:rsidR="000A7B24" w:rsidRDefault="000A7B24" w:rsidP="00747C6D">
      <w:pPr>
        <w:jc w:val="center"/>
        <w:rPr>
          <w:rFonts w:ascii="Times New Roman Bold" w:hAnsi="Times New Roman Bold"/>
          <w:b/>
          <w:caps/>
          <w:sz w:val="22"/>
          <w:szCs w:val="22"/>
        </w:rPr>
      </w:pPr>
    </w:p>
    <w:p w14:paraId="27D27EE1" w14:textId="77777777" w:rsidR="000A7B24" w:rsidRDefault="000A7B24" w:rsidP="00747C6D">
      <w:pPr>
        <w:jc w:val="center"/>
        <w:rPr>
          <w:rFonts w:ascii="Times New Roman Bold" w:hAnsi="Times New Roman Bold"/>
          <w:b/>
          <w:caps/>
          <w:sz w:val="22"/>
          <w:szCs w:val="22"/>
        </w:rPr>
      </w:pPr>
    </w:p>
    <w:p w14:paraId="515A50D5" w14:textId="77777777" w:rsidR="000A7B24" w:rsidRDefault="000A7B24" w:rsidP="00747C6D">
      <w:pPr>
        <w:jc w:val="center"/>
        <w:rPr>
          <w:rFonts w:ascii="Times New Roman Bold" w:hAnsi="Times New Roman Bold"/>
          <w:b/>
          <w:caps/>
          <w:sz w:val="22"/>
          <w:szCs w:val="22"/>
        </w:rPr>
      </w:pPr>
    </w:p>
    <w:p w14:paraId="10DBE614" w14:textId="77777777" w:rsidR="000A7B24" w:rsidRDefault="000A7B24" w:rsidP="00747C6D">
      <w:pPr>
        <w:jc w:val="center"/>
        <w:rPr>
          <w:rFonts w:ascii="Times New Roman Bold" w:hAnsi="Times New Roman Bold"/>
          <w:b/>
          <w:caps/>
          <w:sz w:val="22"/>
          <w:szCs w:val="22"/>
        </w:rPr>
      </w:pPr>
    </w:p>
    <w:p w14:paraId="5F1659EA" w14:textId="77777777" w:rsidR="000A7B24" w:rsidRDefault="000A7B24" w:rsidP="00747C6D">
      <w:pPr>
        <w:jc w:val="center"/>
        <w:rPr>
          <w:rFonts w:ascii="Times New Roman Bold" w:hAnsi="Times New Roman Bold"/>
          <w:b/>
          <w:caps/>
          <w:sz w:val="22"/>
          <w:szCs w:val="22"/>
        </w:rPr>
      </w:pPr>
    </w:p>
    <w:p w14:paraId="77845F3D" w14:textId="77777777" w:rsidR="000A7B24" w:rsidRDefault="000A7B24" w:rsidP="00747C6D">
      <w:pPr>
        <w:jc w:val="center"/>
        <w:rPr>
          <w:rFonts w:ascii="Times New Roman Bold" w:hAnsi="Times New Roman Bold"/>
          <w:b/>
          <w:caps/>
          <w:sz w:val="22"/>
          <w:szCs w:val="22"/>
        </w:rPr>
      </w:pPr>
    </w:p>
    <w:p w14:paraId="2C46A351" w14:textId="77777777" w:rsidR="000A7B24" w:rsidRDefault="000A7B24" w:rsidP="00747C6D">
      <w:pPr>
        <w:jc w:val="center"/>
        <w:rPr>
          <w:rFonts w:ascii="Times New Roman Bold" w:hAnsi="Times New Roman Bold"/>
          <w:b/>
          <w:caps/>
          <w:sz w:val="22"/>
          <w:szCs w:val="22"/>
        </w:rPr>
      </w:pPr>
    </w:p>
    <w:p w14:paraId="2CF43384" w14:textId="77777777" w:rsidR="000A7B24" w:rsidRDefault="000A7B24" w:rsidP="00747C6D">
      <w:pPr>
        <w:jc w:val="center"/>
        <w:rPr>
          <w:rFonts w:ascii="Times New Roman Bold" w:hAnsi="Times New Roman Bold"/>
          <w:b/>
          <w:caps/>
          <w:sz w:val="22"/>
          <w:szCs w:val="22"/>
        </w:rPr>
      </w:pPr>
    </w:p>
    <w:p w14:paraId="2F6927AB" w14:textId="77777777" w:rsidR="000A7B24" w:rsidRDefault="000A7B24" w:rsidP="00747C6D">
      <w:pPr>
        <w:jc w:val="center"/>
        <w:rPr>
          <w:rFonts w:ascii="Times New Roman Bold" w:hAnsi="Times New Roman Bold"/>
          <w:b/>
          <w:caps/>
          <w:sz w:val="22"/>
          <w:szCs w:val="22"/>
        </w:rPr>
      </w:pPr>
    </w:p>
    <w:p w14:paraId="7023A75B" w14:textId="77777777" w:rsidR="000A7B24" w:rsidRDefault="000A7B24" w:rsidP="00747C6D">
      <w:pPr>
        <w:jc w:val="center"/>
        <w:rPr>
          <w:rFonts w:ascii="Times New Roman Bold" w:hAnsi="Times New Roman Bold"/>
          <w:b/>
          <w:caps/>
          <w:sz w:val="22"/>
          <w:szCs w:val="22"/>
        </w:rPr>
      </w:pPr>
    </w:p>
    <w:p w14:paraId="22D83EE7" w14:textId="77777777" w:rsidR="000A7B24" w:rsidRDefault="000A7B24" w:rsidP="00747C6D">
      <w:pPr>
        <w:jc w:val="center"/>
        <w:rPr>
          <w:rFonts w:ascii="Times New Roman Bold" w:hAnsi="Times New Roman Bold"/>
          <w:b/>
          <w:caps/>
          <w:sz w:val="22"/>
          <w:szCs w:val="22"/>
        </w:rPr>
      </w:pPr>
    </w:p>
    <w:p w14:paraId="5CF1ECAC" w14:textId="77777777" w:rsidR="000A7B24" w:rsidRDefault="000A7B24" w:rsidP="00747C6D">
      <w:pPr>
        <w:jc w:val="center"/>
        <w:rPr>
          <w:rFonts w:ascii="Times New Roman Bold" w:hAnsi="Times New Roman Bold"/>
          <w:b/>
          <w:caps/>
          <w:sz w:val="22"/>
          <w:szCs w:val="22"/>
        </w:rPr>
      </w:pPr>
    </w:p>
    <w:p w14:paraId="48116AA2" w14:textId="77777777" w:rsidR="000A7B24" w:rsidRDefault="000A7B24" w:rsidP="00747C6D">
      <w:pPr>
        <w:jc w:val="center"/>
        <w:rPr>
          <w:rFonts w:ascii="Times New Roman Bold" w:hAnsi="Times New Roman Bold"/>
          <w:b/>
          <w:caps/>
          <w:sz w:val="22"/>
          <w:szCs w:val="22"/>
        </w:rPr>
      </w:pPr>
    </w:p>
    <w:p w14:paraId="5F34B51F" w14:textId="77777777" w:rsidR="000A7B24" w:rsidRDefault="000A7B24" w:rsidP="00747C6D">
      <w:pPr>
        <w:jc w:val="center"/>
        <w:rPr>
          <w:rFonts w:ascii="Times New Roman Bold" w:hAnsi="Times New Roman Bold"/>
          <w:b/>
          <w:caps/>
          <w:sz w:val="22"/>
          <w:szCs w:val="22"/>
        </w:rPr>
      </w:pPr>
    </w:p>
    <w:p w14:paraId="0415522A" w14:textId="77777777" w:rsidR="000A7B24" w:rsidRDefault="000A7B24" w:rsidP="00747C6D">
      <w:pPr>
        <w:jc w:val="center"/>
        <w:rPr>
          <w:rFonts w:ascii="Times New Roman Bold" w:hAnsi="Times New Roman Bold"/>
          <w:b/>
          <w:caps/>
          <w:sz w:val="22"/>
          <w:szCs w:val="22"/>
        </w:rPr>
      </w:pPr>
    </w:p>
    <w:p w14:paraId="40FDB7F3" w14:textId="77777777" w:rsidR="000A7B24" w:rsidRDefault="000A7B24" w:rsidP="00747C6D">
      <w:pPr>
        <w:jc w:val="center"/>
        <w:rPr>
          <w:rFonts w:ascii="Times New Roman Bold" w:hAnsi="Times New Roman Bold"/>
          <w:b/>
          <w:caps/>
          <w:sz w:val="22"/>
          <w:szCs w:val="22"/>
        </w:rPr>
      </w:pPr>
    </w:p>
    <w:p w14:paraId="6086C2F0" w14:textId="77777777" w:rsidR="000A7B24" w:rsidRDefault="000A7B24" w:rsidP="00747C6D">
      <w:pPr>
        <w:jc w:val="center"/>
        <w:rPr>
          <w:rFonts w:ascii="Times New Roman Bold" w:hAnsi="Times New Roman Bold"/>
          <w:b/>
          <w:caps/>
          <w:sz w:val="22"/>
          <w:szCs w:val="22"/>
        </w:rPr>
      </w:pPr>
    </w:p>
    <w:p w14:paraId="140C6188" w14:textId="77777777" w:rsidR="00902D4A" w:rsidRPr="00745E61" w:rsidRDefault="005E774F" w:rsidP="00747C6D">
      <w:pPr>
        <w:jc w:val="center"/>
        <w:rPr>
          <w:rFonts w:ascii="Times New Roman Bold" w:hAnsi="Times New Roman Bold"/>
          <w:b/>
          <w:caps/>
          <w:sz w:val="22"/>
          <w:szCs w:val="22"/>
        </w:rPr>
      </w:pPr>
      <w:r>
        <w:rPr>
          <w:rFonts w:ascii="Times New Roman Bold" w:hAnsi="Times New Roman Bold"/>
          <w:b/>
          <w:caps/>
          <w:sz w:val="22"/>
          <w:szCs w:val="22"/>
        </w:rPr>
        <w:br w:type="page"/>
      </w:r>
      <w:r w:rsidR="00902D4A" w:rsidRPr="00745E61">
        <w:rPr>
          <w:rFonts w:ascii="Times New Roman Bold" w:hAnsi="Times New Roman Bold"/>
          <w:b/>
          <w:caps/>
          <w:sz w:val="22"/>
          <w:szCs w:val="22"/>
        </w:rPr>
        <w:lastRenderedPageBreak/>
        <w:t>S</w:t>
      </w:r>
      <w:r w:rsidR="00633598" w:rsidRPr="00745E61">
        <w:rPr>
          <w:rFonts w:ascii="Times New Roman Bold" w:hAnsi="Times New Roman Bold"/>
          <w:b/>
          <w:caps/>
          <w:sz w:val="22"/>
          <w:szCs w:val="22"/>
        </w:rPr>
        <w:t>tandards Committee Manual of Procedures</w:t>
      </w:r>
    </w:p>
    <w:p w14:paraId="3A065002" w14:textId="77777777" w:rsidR="00902D4A" w:rsidRPr="00745E61" w:rsidRDefault="00902D4A" w:rsidP="00AE788E">
      <w:pPr>
        <w:pStyle w:val="Heading1"/>
      </w:pPr>
    </w:p>
    <w:p w14:paraId="1F384002" w14:textId="77777777" w:rsidR="00902D4A" w:rsidRPr="00745E61" w:rsidRDefault="00902D4A" w:rsidP="00AE788E">
      <w:pPr>
        <w:pStyle w:val="Heading1"/>
      </w:pPr>
      <w:bookmarkStart w:id="0" w:name="_Toc132295450"/>
      <w:r w:rsidRPr="00745E61">
        <w:t>1 S</w:t>
      </w:r>
      <w:r w:rsidR="00633598" w:rsidRPr="00745E61">
        <w:t>tandards Committee - General</w:t>
      </w:r>
      <w:bookmarkEnd w:id="0"/>
    </w:p>
    <w:p w14:paraId="4BFC5A0D" w14:textId="77777777" w:rsidR="00CB2107" w:rsidRPr="00745E61" w:rsidRDefault="00CB2107" w:rsidP="00CB2107">
      <w:pPr>
        <w:pStyle w:val="StyleHeading2TimesNewRomanJustified"/>
        <w:rPr>
          <w:rFonts w:ascii="Times New Roman Bold" w:hAnsi="Times New Roman Bold"/>
          <w:caps/>
          <w:sz w:val="22"/>
          <w:szCs w:val="22"/>
        </w:rPr>
      </w:pPr>
    </w:p>
    <w:p w14:paraId="2B178FF2" w14:textId="77777777" w:rsidR="00902D4A" w:rsidRPr="00745E61" w:rsidRDefault="00894BA8" w:rsidP="001641D5">
      <w:pPr>
        <w:pStyle w:val="StyleStyleHeading2TimesNewRomanJustified14ptSmallca"/>
      </w:pPr>
      <w:bookmarkStart w:id="1" w:name="_Toc132295451"/>
      <w:r w:rsidRPr="00745E61">
        <w:t xml:space="preserve">1.1 </w:t>
      </w:r>
      <w:r w:rsidR="00902D4A" w:rsidRPr="00745E61">
        <w:t>Responsibilities/Duties</w:t>
      </w:r>
      <w:bookmarkEnd w:id="1"/>
    </w:p>
    <w:p w14:paraId="41FA0DFB" w14:textId="77777777" w:rsidR="00902D4A" w:rsidRPr="00011770" w:rsidRDefault="00902D4A">
      <w:pPr>
        <w:jc w:val="both"/>
        <w:rPr>
          <w:rFonts w:ascii="Times New Roman Bold" w:hAnsi="Times New Roman Bold"/>
          <w:b/>
          <w:caps/>
          <w:sz w:val="20"/>
        </w:rPr>
      </w:pPr>
    </w:p>
    <w:p w14:paraId="30F73292" w14:textId="77777777" w:rsidR="00902D4A" w:rsidRPr="00745E61" w:rsidRDefault="00902D4A" w:rsidP="00CB2107">
      <w:pPr>
        <w:rPr>
          <w:rFonts w:ascii="Times New Roman Bold" w:hAnsi="Times New Roman Bold"/>
          <w:b/>
          <w:caps/>
          <w:sz w:val="22"/>
          <w:szCs w:val="22"/>
        </w:rPr>
      </w:pPr>
      <w:bookmarkStart w:id="2" w:name="_Hlk105931016"/>
      <w:r w:rsidRPr="004D7C99">
        <w:rPr>
          <w:rFonts w:ascii="Times New Roman Bold" w:hAnsi="Times New Roman Bold"/>
          <w:b/>
          <w:caps/>
          <w:sz w:val="22"/>
          <w:szCs w:val="22"/>
        </w:rPr>
        <w:t>1.1.1 Scope</w:t>
      </w:r>
    </w:p>
    <w:p w14:paraId="165BE375" w14:textId="77777777" w:rsidR="00902D4A" w:rsidRPr="00745E61" w:rsidRDefault="00902D4A">
      <w:pPr>
        <w:jc w:val="both"/>
        <w:rPr>
          <w:sz w:val="22"/>
          <w:szCs w:val="22"/>
        </w:rPr>
      </w:pPr>
      <w:r w:rsidRPr="00745E61">
        <w:rPr>
          <w:sz w:val="22"/>
          <w:szCs w:val="22"/>
        </w:rPr>
        <w:t>The Standards Committee (</w:t>
      </w:r>
      <w:proofErr w:type="spellStart"/>
      <w:r w:rsidRPr="00A2228D">
        <w:rPr>
          <w:b/>
          <w:sz w:val="22"/>
          <w:szCs w:val="22"/>
        </w:rPr>
        <w:t>StdC</w:t>
      </w:r>
      <w:proofErr w:type="spellEnd"/>
      <w:r w:rsidRPr="00745E61">
        <w:rPr>
          <w:sz w:val="22"/>
          <w:szCs w:val="22"/>
        </w:rPr>
        <w:t xml:space="preserve">) shall be responsible </w:t>
      </w:r>
      <w:r w:rsidR="00087302">
        <w:rPr>
          <w:sz w:val="22"/>
          <w:szCs w:val="22"/>
        </w:rPr>
        <w:t>f</w:t>
      </w:r>
      <w:r w:rsidR="00FB1569" w:rsidRPr="00087302">
        <w:rPr>
          <w:sz w:val="22"/>
          <w:szCs w:val="22"/>
        </w:rPr>
        <w:t>or</w:t>
      </w:r>
      <w:r w:rsidRPr="00745E61">
        <w:rPr>
          <w:sz w:val="22"/>
          <w:szCs w:val="22"/>
        </w:rPr>
        <w:t xml:space="preserve"> all code language documents, standards written in mandatory, enforceable language, and other standards, guidelines, </w:t>
      </w:r>
      <w:r w:rsidR="00F673B2">
        <w:rPr>
          <w:sz w:val="22"/>
          <w:szCs w:val="22"/>
        </w:rPr>
        <w:t>or portions thereof</w:t>
      </w:r>
      <w:r w:rsidR="0006532A">
        <w:rPr>
          <w:sz w:val="22"/>
          <w:szCs w:val="22"/>
        </w:rPr>
        <w:t>,</w:t>
      </w:r>
      <w:r w:rsidRPr="00745E61">
        <w:rPr>
          <w:sz w:val="22"/>
          <w:szCs w:val="22"/>
        </w:rPr>
        <w:t xml:space="preserve"> in the fields of heating, refrigerating, air conditioning, and ventilating engineering, including all revisions, reaffirmations or withdrawals thereof, to be considered for approval.  It shall cooperate with and supervise the Society’s participation in other organizations in the development, preparation, and adoption of codes, standards, and guidelines. (</w:t>
      </w:r>
      <w:r w:rsidR="00341F86">
        <w:rPr>
          <w:sz w:val="22"/>
          <w:szCs w:val="22"/>
        </w:rPr>
        <w:t>ROB 2.425.001</w:t>
      </w:r>
      <w:r w:rsidRPr="00745E61">
        <w:rPr>
          <w:sz w:val="22"/>
          <w:szCs w:val="22"/>
        </w:rPr>
        <w:t>).</w:t>
      </w:r>
      <w:r w:rsidR="0053237A">
        <w:rPr>
          <w:sz w:val="22"/>
          <w:szCs w:val="22"/>
        </w:rPr>
        <w:t xml:space="preserve">  </w:t>
      </w:r>
    </w:p>
    <w:bookmarkEnd w:id="2"/>
    <w:p w14:paraId="5E31BFDE" w14:textId="77777777" w:rsidR="00902D4A" w:rsidRPr="00745E61" w:rsidRDefault="00902D4A">
      <w:pPr>
        <w:jc w:val="both"/>
        <w:rPr>
          <w:b/>
          <w:sz w:val="22"/>
          <w:szCs w:val="22"/>
        </w:rPr>
      </w:pPr>
    </w:p>
    <w:p w14:paraId="359A829D" w14:textId="77777777" w:rsidR="00902D4A" w:rsidRPr="00745E61" w:rsidRDefault="00902D4A" w:rsidP="00CB2107">
      <w:pPr>
        <w:rPr>
          <w:b/>
          <w:smallCaps/>
          <w:sz w:val="22"/>
          <w:szCs w:val="22"/>
        </w:rPr>
      </w:pPr>
      <w:r w:rsidRPr="00745E61">
        <w:rPr>
          <w:b/>
          <w:smallCaps/>
          <w:sz w:val="22"/>
          <w:szCs w:val="22"/>
        </w:rPr>
        <w:t xml:space="preserve">1.1.2 </w:t>
      </w:r>
      <w:r w:rsidRPr="00745E61">
        <w:rPr>
          <w:b/>
          <w:sz w:val="22"/>
          <w:szCs w:val="22"/>
        </w:rPr>
        <w:t>Purpose</w:t>
      </w:r>
    </w:p>
    <w:p w14:paraId="03918825" w14:textId="77777777" w:rsidR="00902D4A" w:rsidRPr="00745E61" w:rsidRDefault="00902D4A">
      <w:pPr>
        <w:jc w:val="both"/>
        <w:rPr>
          <w:sz w:val="22"/>
          <w:szCs w:val="22"/>
        </w:rPr>
      </w:pPr>
      <w:r w:rsidRPr="00745E61">
        <w:rPr>
          <w:sz w:val="22"/>
          <w:szCs w:val="22"/>
        </w:rPr>
        <w:t xml:space="preserve">The activities of the </w:t>
      </w:r>
      <w:proofErr w:type="spellStart"/>
      <w:r w:rsidR="003F2BC1" w:rsidRPr="00745E61">
        <w:rPr>
          <w:sz w:val="22"/>
          <w:szCs w:val="22"/>
        </w:rPr>
        <w:t>StdC</w:t>
      </w:r>
      <w:proofErr w:type="spellEnd"/>
      <w:r w:rsidRPr="00745E61">
        <w:rPr>
          <w:sz w:val="22"/>
          <w:szCs w:val="22"/>
        </w:rPr>
        <w:t xml:space="preserve"> shall be solely for the development of engineering science, and the Committee shall not engage in influencing enactment of building or other codes, or propaganda, or other activities designed to influence legislation. (ROB 520-166-002).</w:t>
      </w:r>
    </w:p>
    <w:p w14:paraId="0120B562" w14:textId="77777777" w:rsidR="00902D4A" w:rsidRPr="00745E61" w:rsidRDefault="00902D4A" w:rsidP="00CB2107">
      <w:pPr>
        <w:rPr>
          <w:b/>
          <w:smallCaps/>
          <w:sz w:val="22"/>
          <w:szCs w:val="22"/>
        </w:rPr>
      </w:pPr>
    </w:p>
    <w:p w14:paraId="5EDB1E15" w14:textId="77777777" w:rsidR="00902D4A" w:rsidRPr="00745E61" w:rsidRDefault="00902D4A" w:rsidP="00CB2107">
      <w:pPr>
        <w:rPr>
          <w:b/>
          <w:smallCaps/>
          <w:sz w:val="22"/>
          <w:szCs w:val="22"/>
        </w:rPr>
      </w:pPr>
      <w:r w:rsidRPr="00745E61">
        <w:rPr>
          <w:b/>
          <w:smallCaps/>
          <w:sz w:val="22"/>
          <w:szCs w:val="22"/>
        </w:rPr>
        <w:t xml:space="preserve">1.1.3 </w:t>
      </w:r>
      <w:r w:rsidRPr="00745E61">
        <w:rPr>
          <w:b/>
          <w:sz w:val="22"/>
          <w:szCs w:val="22"/>
        </w:rPr>
        <w:t>Policy on Standards</w:t>
      </w:r>
      <w:r w:rsidR="00F673B2">
        <w:rPr>
          <w:b/>
          <w:sz w:val="22"/>
          <w:szCs w:val="22"/>
        </w:rPr>
        <w:t>,</w:t>
      </w:r>
      <w:r w:rsidRPr="00745E61">
        <w:rPr>
          <w:b/>
          <w:sz w:val="22"/>
          <w:szCs w:val="22"/>
        </w:rPr>
        <w:t xml:space="preserve"> Guideline</w:t>
      </w:r>
      <w:r w:rsidR="00F673B2">
        <w:rPr>
          <w:b/>
          <w:sz w:val="22"/>
          <w:szCs w:val="22"/>
        </w:rPr>
        <w:t xml:space="preserve"> or portion thereof </w:t>
      </w:r>
      <w:r w:rsidRPr="00745E61">
        <w:rPr>
          <w:b/>
          <w:sz w:val="22"/>
          <w:szCs w:val="22"/>
        </w:rPr>
        <w:t>Development</w:t>
      </w:r>
    </w:p>
    <w:p w14:paraId="171DEF4A" w14:textId="77777777" w:rsidR="00747C6D" w:rsidRPr="00A2228D" w:rsidRDefault="00902D4A" w:rsidP="0090575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2"/>
          <w:szCs w:val="22"/>
        </w:rPr>
      </w:pPr>
      <w:r w:rsidRPr="00A2228D">
        <w:rPr>
          <w:sz w:val="22"/>
          <w:szCs w:val="22"/>
        </w:rPr>
        <w:t>ASHRAE writes standards for</w:t>
      </w:r>
      <w:r w:rsidR="00A2228D" w:rsidRPr="00A2228D">
        <w:rPr>
          <w:sz w:val="22"/>
          <w:szCs w:val="22"/>
        </w:rPr>
        <w:t>:</w:t>
      </w:r>
      <w:r w:rsidRPr="00A2228D">
        <w:rPr>
          <w:sz w:val="22"/>
          <w:szCs w:val="22"/>
        </w:rPr>
        <w:t xml:space="preserve"> </w:t>
      </w:r>
    </w:p>
    <w:p w14:paraId="727198C9" w14:textId="77777777" w:rsidR="00747C6D" w:rsidRPr="00745E61" w:rsidRDefault="00902D4A" w:rsidP="002B5341">
      <w:pPr>
        <w:numPr>
          <w:ilvl w:val="1"/>
          <w:numId w:val="29"/>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bookmarkStart w:id="3" w:name="_Hlk38374047"/>
      <w:r w:rsidRPr="00A2228D">
        <w:rPr>
          <w:sz w:val="22"/>
          <w:szCs w:val="22"/>
        </w:rPr>
        <w:t xml:space="preserve">method of </w:t>
      </w:r>
      <w:r w:rsidR="00747C6D" w:rsidRPr="00A2228D">
        <w:rPr>
          <w:sz w:val="22"/>
          <w:szCs w:val="22"/>
        </w:rPr>
        <w:t xml:space="preserve">test </w:t>
      </w:r>
      <w:r w:rsidR="003C370B">
        <w:rPr>
          <w:sz w:val="22"/>
          <w:szCs w:val="22"/>
        </w:rPr>
        <w:t xml:space="preserve">and classification </w:t>
      </w:r>
    </w:p>
    <w:p w14:paraId="0AFF4BFC" w14:textId="77777777" w:rsidR="00747C6D" w:rsidRPr="00A2228D" w:rsidRDefault="003C370B" w:rsidP="003C370B">
      <w:pPr>
        <w:numPr>
          <w:ilvl w:val="1"/>
          <w:numId w:val="29"/>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A2228D">
        <w:rPr>
          <w:sz w:val="22"/>
          <w:szCs w:val="22"/>
        </w:rPr>
        <w:t xml:space="preserve">design </w:t>
      </w:r>
    </w:p>
    <w:p w14:paraId="7F12CAD9" w14:textId="77777777" w:rsidR="003C370B" w:rsidRDefault="003C370B" w:rsidP="00905752">
      <w:pPr>
        <w:numPr>
          <w:ilvl w:val="1"/>
          <w:numId w:val="29"/>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A2228D">
        <w:rPr>
          <w:sz w:val="22"/>
          <w:szCs w:val="22"/>
        </w:rPr>
        <w:t xml:space="preserve">protocol </w:t>
      </w:r>
    </w:p>
    <w:p w14:paraId="0EFCF1E7" w14:textId="77777777" w:rsidR="00747C6D" w:rsidRPr="00745E61" w:rsidRDefault="00064FB7" w:rsidP="00064FB7">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2"/>
          <w:szCs w:val="22"/>
        </w:rPr>
      </w:pPr>
      <w:r>
        <w:rPr>
          <w:sz w:val="22"/>
          <w:szCs w:val="22"/>
        </w:rPr>
        <w:t xml:space="preserve">      </w:t>
      </w:r>
      <w:r w:rsidR="00A8539E">
        <w:rPr>
          <w:sz w:val="22"/>
          <w:szCs w:val="22"/>
        </w:rPr>
        <w:t>4.</w:t>
      </w:r>
      <w:r w:rsidR="00A8539E">
        <w:rPr>
          <w:sz w:val="22"/>
          <w:szCs w:val="22"/>
        </w:rPr>
        <w:tab/>
      </w:r>
      <w:r w:rsidR="00A2228D">
        <w:rPr>
          <w:sz w:val="22"/>
          <w:szCs w:val="22"/>
        </w:rPr>
        <w:t>rating standards</w:t>
      </w:r>
      <w:r w:rsidR="00902D4A" w:rsidRPr="00745E61">
        <w:rPr>
          <w:sz w:val="22"/>
          <w:szCs w:val="22"/>
        </w:rPr>
        <w:t>.</w:t>
      </w:r>
      <w:r w:rsidR="00FA6521" w:rsidRPr="00745E61">
        <w:rPr>
          <w:sz w:val="22"/>
          <w:szCs w:val="22"/>
        </w:rPr>
        <w:t xml:space="preserve"> </w:t>
      </w:r>
    </w:p>
    <w:bookmarkEnd w:id="3"/>
    <w:p w14:paraId="18D8E331" w14:textId="77777777" w:rsidR="00064FB7" w:rsidRDefault="00A2228D" w:rsidP="003129A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2"/>
          <w:szCs w:val="22"/>
        </w:rPr>
      </w:pPr>
      <w:r>
        <w:rPr>
          <w:sz w:val="22"/>
          <w:szCs w:val="22"/>
        </w:rPr>
        <w:t xml:space="preserve"> </w:t>
      </w:r>
    </w:p>
    <w:p w14:paraId="53909216" w14:textId="77777777" w:rsidR="003129A5" w:rsidRDefault="00A2228D" w:rsidP="003129A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2"/>
          <w:szCs w:val="22"/>
        </w:rPr>
      </w:pPr>
      <w:r>
        <w:rPr>
          <w:sz w:val="22"/>
          <w:szCs w:val="22"/>
        </w:rPr>
        <w:t>If consensus cannot be met on fundamental or controversial issues, policy guidance shall be given by the ASHRAE Standards Executive Committee in consultation with the ASHRAE Technology Council or its designee.</w:t>
      </w:r>
    </w:p>
    <w:p w14:paraId="6C41342D" w14:textId="77777777" w:rsidR="00064FB7" w:rsidRDefault="00064FB7" w:rsidP="003129A5">
      <w:pPr>
        <w:pStyle w:val="Default0"/>
        <w:jc w:val="both"/>
        <w:rPr>
          <w:rFonts w:ascii="Times New Roman" w:hAnsi="Times New Roman" w:cs="Times New Roman"/>
          <w:b/>
          <w:sz w:val="22"/>
          <w:szCs w:val="22"/>
        </w:rPr>
      </w:pPr>
    </w:p>
    <w:p w14:paraId="1C7B888D" w14:textId="77777777" w:rsidR="003129A5" w:rsidRDefault="003129A5" w:rsidP="003129A5">
      <w:pPr>
        <w:pStyle w:val="Default0"/>
        <w:jc w:val="both"/>
        <w:rPr>
          <w:sz w:val="22"/>
          <w:szCs w:val="22"/>
        </w:rPr>
      </w:pPr>
      <w:r>
        <w:rPr>
          <w:rFonts w:ascii="Times New Roman" w:hAnsi="Times New Roman" w:cs="Times New Roman"/>
          <w:b/>
          <w:sz w:val="22"/>
          <w:szCs w:val="22"/>
        </w:rPr>
        <w:t>Method of Test and Classification:</w:t>
      </w:r>
      <w:r>
        <w:rPr>
          <w:rFonts w:ascii="Times New Roman" w:hAnsi="Times New Roman" w:cs="Times New Roman"/>
          <w:sz w:val="22"/>
          <w:szCs w:val="22"/>
        </w:rPr>
        <w:t xml:space="preserve"> Method of Test and Classification Standards shall typically provide a uniform set of procedures and processes for determining the performance of a system, equipment or thermal fluids/refrigerant. The standards typically identify a uniform method of testing, identification of test equipment for performing such tests, identification of data required and calculations to be used, as well as establishing definitions and terminology. Method of Test and Classification Standards shall define minimum requirements for code application. (Examples: ASHRAE Standards 41 Series, 74, and 93.)</w:t>
      </w:r>
    </w:p>
    <w:p w14:paraId="4A3259C5" w14:textId="77777777" w:rsidR="003129A5" w:rsidRPr="003129A5" w:rsidRDefault="003129A5" w:rsidP="003129A5">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sz w:val="22"/>
          <w:szCs w:val="22"/>
        </w:rPr>
      </w:pPr>
    </w:p>
    <w:p w14:paraId="08AABE86" w14:textId="77777777" w:rsidR="003129A5" w:rsidRPr="001C14EB" w:rsidRDefault="003129A5" w:rsidP="003129A5">
      <w:pPr>
        <w:rPr>
          <w:sz w:val="22"/>
          <w:szCs w:val="22"/>
        </w:rPr>
      </w:pPr>
      <w:r w:rsidRPr="001C14EB">
        <w:rPr>
          <w:b/>
          <w:sz w:val="22"/>
          <w:szCs w:val="22"/>
        </w:rPr>
        <w:t>Design:</w:t>
      </w:r>
      <w:r w:rsidRPr="001C14EB">
        <w:rPr>
          <w:sz w:val="22"/>
          <w:szCs w:val="22"/>
        </w:rPr>
        <w:t xml:space="preserve"> Design Standards shall provide at least one prescriptive method for minimum compliance, indicated in tabular or similar easy to follow format, while providing practical, minimum, cost effective measures. Alternative performance compliance paths may be outlined in the standard but shall be detailed separately in normative appendices. Standards shall provide cost effective solutions while defining minimum compliance requirements for code applications. The basic compliance standard shall only address the primary scope issue. It may identify related issues of concern, but these should be addressed separately. Recommendations for systems and equipment, construction and startup, operation and maintenance, etc. and all other design related data shall be included in separate Protocol Standards or Guidelines. (Examples: ASHRAE Standards 55, 62, and 90 Series.)</w:t>
      </w:r>
    </w:p>
    <w:p w14:paraId="195BD9FF" w14:textId="77777777" w:rsidR="003129A5" w:rsidRPr="001C14EB" w:rsidRDefault="003129A5" w:rsidP="003129A5">
      <w:pPr>
        <w:tabs>
          <w:tab w:val="left" w:pos="1888"/>
        </w:tabs>
        <w:rPr>
          <w:sz w:val="22"/>
          <w:szCs w:val="22"/>
        </w:rPr>
      </w:pPr>
      <w:r>
        <w:rPr>
          <w:sz w:val="22"/>
          <w:szCs w:val="22"/>
        </w:rPr>
        <w:tab/>
      </w:r>
    </w:p>
    <w:p w14:paraId="73C6D1C4" w14:textId="77777777" w:rsidR="003129A5" w:rsidRPr="001C14EB" w:rsidRDefault="003129A5" w:rsidP="003129A5">
      <w:pPr>
        <w:rPr>
          <w:sz w:val="22"/>
          <w:szCs w:val="22"/>
        </w:rPr>
      </w:pPr>
      <w:r w:rsidRPr="001C14EB">
        <w:rPr>
          <w:b/>
          <w:sz w:val="22"/>
          <w:szCs w:val="22"/>
        </w:rPr>
        <w:t>Protocol</w:t>
      </w:r>
      <w:r w:rsidRPr="001C14EB">
        <w:rPr>
          <w:sz w:val="22"/>
          <w:szCs w:val="22"/>
        </w:rPr>
        <w:t xml:space="preserve">: Protocol Standards shall typically provide uniform practice, procedure or performance requirements as well as establishing reference information. The requirements may include, but are not limited </w:t>
      </w:r>
      <w:proofErr w:type="gramStart"/>
      <w:r w:rsidRPr="001C14EB">
        <w:rPr>
          <w:sz w:val="22"/>
          <w:szCs w:val="22"/>
        </w:rPr>
        <w:t>to:</w:t>
      </w:r>
      <w:proofErr w:type="gramEnd"/>
      <w:r w:rsidRPr="001C14EB">
        <w:rPr>
          <w:sz w:val="22"/>
          <w:szCs w:val="22"/>
        </w:rPr>
        <w:t xml:space="preserve"> calculations, construction, inspection, installation, maintenance, services and operation. The reference information may include, but is not limited </w:t>
      </w:r>
      <w:proofErr w:type="gramStart"/>
      <w:r w:rsidRPr="001C14EB">
        <w:rPr>
          <w:sz w:val="22"/>
          <w:szCs w:val="22"/>
        </w:rPr>
        <w:t>to:</w:t>
      </w:r>
      <w:proofErr w:type="gramEnd"/>
      <w:r w:rsidRPr="001C14EB">
        <w:rPr>
          <w:sz w:val="22"/>
          <w:szCs w:val="22"/>
        </w:rPr>
        <w:t xml:space="preserve"> conditions, data, definitions, descriptions, designations, factors, identifications, terminology and symbols. (Examples: ASHRAE Standards 100 and 135.)</w:t>
      </w:r>
    </w:p>
    <w:p w14:paraId="2D6A4D02" w14:textId="77777777" w:rsidR="003129A5" w:rsidRPr="001C14EB" w:rsidRDefault="003129A5" w:rsidP="003129A5">
      <w:pPr>
        <w:rPr>
          <w:sz w:val="22"/>
          <w:szCs w:val="22"/>
        </w:rPr>
      </w:pPr>
    </w:p>
    <w:p w14:paraId="6219027E" w14:textId="77777777" w:rsidR="003129A5" w:rsidRPr="001C14EB" w:rsidRDefault="003129A5" w:rsidP="003129A5">
      <w:pPr>
        <w:pStyle w:val="default"/>
        <w:jc w:val="both"/>
        <w:rPr>
          <w:rFonts w:ascii="Tahoma" w:hAnsi="Tahoma" w:cs="Tahoma"/>
          <w:sz w:val="22"/>
          <w:szCs w:val="22"/>
        </w:rPr>
      </w:pPr>
      <w:r w:rsidRPr="001C14EB">
        <w:rPr>
          <w:b/>
          <w:sz w:val="22"/>
          <w:szCs w:val="22"/>
        </w:rPr>
        <w:t>Rating</w:t>
      </w:r>
      <w:r w:rsidRPr="001C14EB">
        <w:rPr>
          <w:sz w:val="22"/>
          <w:szCs w:val="22"/>
        </w:rPr>
        <w:t>:  Rating Standards set forth a method of interpreting the results of tests of individual units, at specified conditions, for a product manufactured in quantity.  A rating standard provides for the certification of performance ratings, at stated rated conditions. (Examples:  ASHRAE Standards 127 and 128.)</w:t>
      </w:r>
    </w:p>
    <w:p w14:paraId="74818186" w14:textId="77777777" w:rsidR="00902D4A" w:rsidRPr="00745E61" w:rsidRDefault="00902D4A" w:rsidP="00CB2107">
      <w:pPr>
        <w:rPr>
          <w:b/>
          <w:sz w:val="22"/>
          <w:szCs w:val="22"/>
        </w:rPr>
      </w:pPr>
    </w:p>
    <w:p w14:paraId="2752E525" w14:textId="77777777" w:rsidR="00902D4A" w:rsidRPr="00745E61" w:rsidRDefault="00902D4A" w:rsidP="00CB2107">
      <w:pPr>
        <w:rPr>
          <w:b/>
          <w:smallCaps/>
          <w:sz w:val="22"/>
          <w:szCs w:val="22"/>
        </w:rPr>
      </w:pPr>
      <w:r w:rsidRPr="00745E61">
        <w:rPr>
          <w:b/>
          <w:smallCaps/>
          <w:sz w:val="22"/>
          <w:szCs w:val="22"/>
        </w:rPr>
        <w:t xml:space="preserve">1.1.4 </w:t>
      </w:r>
      <w:r w:rsidRPr="00745E61">
        <w:rPr>
          <w:b/>
          <w:sz w:val="22"/>
          <w:szCs w:val="22"/>
        </w:rPr>
        <w:t xml:space="preserve">Standards Intended for Use in Regulations </w:t>
      </w:r>
    </w:p>
    <w:p w14:paraId="322D92D6" w14:textId="77777777" w:rsidR="00902D4A" w:rsidRPr="00745E61" w:rsidRDefault="00902D4A">
      <w:pPr>
        <w:pStyle w:val="BodyText2"/>
        <w:rPr>
          <w:rFonts w:ascii="Times New Roman" w:hAnsi="Times New Roman"/>
          <w:sz w:val="22"/>
          <w:szCs w:val="22"/>
        </w:rPr>
      </w:pPr>
      <w:r w:rsidRPr="00745E61">
        <w:rPr>
          <w:rFonts w:ascii="Times New Roman" w:hAnsi="Times New Roman"/>
          <w:sz w:val="22"/>
          <w:szCs w:val="22"/>
        </w:rPr>
        <w:t xml:space="preserve">The </w:t>
      </w:r>
      <w:proofErr w:type="spellStart"/>
      <w:r w:rsidR="003F2BC1" w:rsidRPr="00745E61">
        <w:rPr>
          <w:rFonts w:ascii="Times New Roman" w:hAnsi="Times New Roman"/>
          <w:sz w:val="22"/>
          <w:szCs w:val="22"/>
        </w:rPr>
        <w:t>StdC</w:t>
      </w:r>
      <w:proofErr w:type="spellEnd"/>
      <w:r w:rsidRPr="00745E61">
        <w:rPr>
          <w:rFonts w:ascii="Times New Roman" w:hAnsi="Times New Roman"/>
          <w:sz w:val="22"/>
          <w:szCs w:val="22"/>
        </w:rPr>
        <w:t xml:space="preserve"> may designate selected standards as intended for use in regulations and set special criteria for content and style.</w:t>
      </w:r>
    </w:p>
    <w:p w14:paraId="1966DFC8" w14:textId="77777777" w:rsidR="00902D4A" w:rsidRDefault="00902D4A" w:rsidP="00CB2107">
      <w:pPr>
        <w:rPr>
          <w:b/>
          <w:sz w:val="22"/>
          <w:szCs w:val="22"/>
        </w:rPr>
      </w:pPr>
    </w:p>
    <w:p w14:paraId="1AA3AC70" w14:textId="77777777" w:rsidR="0053237A" w:rsidRPr="004C751E" w:rsidRDefault="004C751E" w:rsidP="0053237A">
      <w:pPr>
        <w:pStyle w:val="StyleStyleHeading2TimesNewRomanJustified14ptSmallca"/>
        <w:rPr>
          <w:caps w:val="0"/>
          <w:smallCaps w:val="0"/>
        </w:rPr>
      </w:pPr>
      <w:bookmarkStart w:id="4" w:name="_Toc132295452"/>
      <w:r>
        <w:t>1.1.5</w:t>
      </w:r>
      <w:r w:rsidR="0053237A" w:rsidRPr="0034427C">
        <w:t xml:space="preserve"> </w:t>
      </w:r>
      <w:r>
        <w:rPr>
          <w:caps w:val="0"/>
          <w:smallCaps w:val="0"/>
        </w:rPr>
        <w:t>Emergency Interim Standards Action</w:t>
      </w:r>
      <w:bookmarkEnd w:id="4"/>
    </w:p>
    <w:p w14:paraId="141B01AF" w14:textId="77777777" w:rsidR="0053237A" w:rsidRDefault="0053237A" w:rsidP="00AA15A4">
      <w:pPr>
        <w:pStyle w:val="BodyText"/>
        <w:rPr>
          <w:rFonts w:ascii="Times New Roman" w:hAnsi="Times New Roman"/>
          <w:sz w:val="22"/>
          <w:szCs w:val="22"/>
        </w:rPr>
      </w:pPr>
      <w:r w:rsidRPr="0034427C">
        <w:rPr>
          <w:rFonts w:ascii="Times New Roman" w:hAnsi="Times New Roman"/>
          <w:sz w:val="22"/>
          <w:szCs w:val="22"/>
        </w:rPr>
        <w:t xml:space="preserve">The procedures in </w:t>
      </w:r>
      <w:r w:rsidR="002C2175" w:rsidRPr="002C2175">
        <w:rPr>
          <w:rFonts w:ascii="Times New Roman" w:hAnsi="Times New Roman"/>
          <w:sz w:val="22"/>
          <w:szCs w:val="22"/>
        </w:rPr>
        <w:t>PASA</w:t>
      </w:r>
      <w:r w:rsidR="00C466E0">
        <w:rPr>
          <w:rFonts w:ascii="Times New Roman" w:hAnsi="Times New Roman"/>
          <w:sz w:val="22"/>
          <w:szCs w:val="22"/>
        </w:rPr>
        <w:t xml:space="preserve"> </w:t>
      </w:r>
      <w:r w:rsidR="000734B7">
        <w:rPr>
          <w:rFonts w:ascii="Times New Roman" w:hAnsi="Times New Roman"/>
          <w:sz w:val="22"/>
          <w:szCs w:val="22"/>
        </w:rPr>
        <w:t>7.10</w:t>
      </w:r>
      <w:r w:rsidR="009C5C8C">
        <w:rPr>
          <w:rFonts w:ascii="Times New Roman" w:hAnsi="Times New Roman"/>
          <w:sz w:val="22"/>
          <w:szCs w:val="22"/>
        </w:rPr>
        <w:t xml:space="preserve"> </w:t>
      </w:r>
      <w:r w:rsidRPr="0034427C">
        <w:rPr>
          <w:rFonts w:ascii="Times New Roman" w:hAnsi="Times New Roman"/>
          <w:sz w:val="22"/>
          <w:szCs w:val="22"/>
        </w:rPr>
        <w:t xml:space="preserve">shall be followed in evaluating and processing proposals for Emergency Interim Standards Action. </w:t>
      </w:r>
      <w:r w:rsidR="0028095F">
        <w:rPr>
          <w:rFonts w:ascii="Times New Roman" w:hAnsi="Times New Roman"/>
          <w:sz w:val="22"/>
          <w:szCs w:val="22"/>
        </w:rPr>
        <w:t>(</w:t>
      </w:r>
      <w:r w:rsidR="00A669D6">
        <w:rPr>
          <w:rFonts w:ascii="Times New Roman" w:hAnsi="Times New Roman"/>
          <w:sz w:val="22"/>
          <w:szCs w:val="22"/>
        </w:rPr>
        <w:t xml:space="preserve">See </w:t>
      </w:r>
      <w:proofErr w:type="spellStart"/>
      <w:r w:rsidR="00A638DE">
        <w:rPr>
          <w:rFonts w:ascii="Times New Roman" w:hAnsi="Times New Roman"/>
          <w:sz w:val="22"/>
          <w:szCs w:val="22"/>
        </w:rPr>
        <w:t>Std</w:t>
      </w:r>
      <w:r w:rsidR="006633A0">
        <w:rPr>
          <w:rFonts w:ascii="Times New Roman" w:hAnsi="Times New Roman"/>
          <w:sz w:val="22"/>
          <w:szCs w:val="22"/>
        </w:rPr>
        <w:t>C</w:t>
      </w:r>
      <w:proofErr w:type="spellEnd"/>
      <w:r w:rsidR="00A638DE">
        <w:rPr>
          <w:rFonts w:ascii="Times New Roman" w:hAnsi="Times New Roman"/>
          <w:sz w:val="22"/>
          <w:szCs w:val="22"/>
        </w:rPr>
        <w:t xml:space="preserve"> Reference Manual</w:t>
      </w:r>
      <w:r w:rsidR="00E86CC5">
        <w:rPr>
          <w:rFonts w:ascii="Times New Roman" w:hAnsi="Times New Roman"/>
          <w:sz w:val="22"/>
          <w:szCs w:val="22"/>
        </w:rPr>
        <w:t xml:space="preserve"> Appendix C</w:t>
      </w:r>
      <w:r w:rsidR="00A638DE">
        <w:rPr>
          <w:rFonts w:ascii="Times New Roman" w:hAnsi="Times New Roman"/>
          <w:sz w:val="22"/>
          <w:szCs w:val="22"/>
        </w:rPr>
        <w:t xml:space="preserve"> for </w:t>
      </w:r>
      <w:r w:rsidR="00A669D6">
        <w:rPr>
          <w:rFonts w:ascii="Times New Roman" w:hAnsi="Times New Roman"/>
          <w:sz w:val="22"/>
          <w:szCs w:val="22"/>
        </w:rPr>
        <w:t xml:space="preserve"> additional details</w:t>
      </w:r>
      <w:r w:rsidR="0028095F">
        <w:rPr>
          <w:rFonts w:ascii="Times New Roman" w:hAnsi="Times New Roman"/>
          <w:sz w:val="22"/>
          <w:szCs w:val="22"/>
        </w:rPr>
        <w:t>)</w:t>
      </w:r>
      <w:r w:rsidR="00A669D6">
        <w:rPr>
          <w:rFonts w:ascii="Times New Roman" w:hAnsi="Times New Roman"/>
          <w:sz w:val="22"/>
          <w:szCs w:val="22"/>
        </w:rPr>
        <w:t>.</w:t>
      </w:r>
      <w:r w:rsidRPr="0034427C">
        <w:rPr>
          <w:rFonts w:ascii="Times New Roman" w:hAnsi="Times New Roman"/>
          <w:sz w:val="22"/>
          <w:szCs w:val="22"/>
        </w:rPr>
        <w:t xml:space="preserve"> </w:t>
      </w:r>
      <w:r w:rsidR="003129A5">
        <w:rPr>
          <w:rFonts w:ascii="Times New Roman" w:hAnsi="Times New Roman"/>
          <w:sz w:val="22"/>
          <w:szCs w:val="22"/>
        </w:rPr>
        <w:t>PASA definition of emergency interim standards action is:</w:t>
      </w:r>
    </w:p>
    <w:p w14:paraId="6B1C4481" w14:textId="77777777" w:rsidR="003129A5" w:rsidRDefault="003129A5" w:rsidP="003129A5">
      <w:pPr>
        <w:pStyle w:val="BodyText"/>
        <w:jc w:val="both"/>
        <w:rPr>
          <w:b/>
          <w:szCs w:val="22"/>
        </w:rPr>
      </w:pPr>
    </w:p>
    <w:p w14:paraId="367CEFF7" w14:textId="77777777" w:rsidR="003129A5" w:rsidRPr="003129A5" w:rsidRDefault="003129A5" w:rsidP="003129A5">
      <w:pPr>
        <w:pStyle w:val="BodyText"/>
        <w:jc w:val="both"/>
        <w:rPr>
          <w:rFonts w:ascii="Times New Roman" w:hAnsi="Times New Roman"/>
          <w:sz w:val="22"/>
          <w:szCs w:val="22"/>
        </w:rPr>
      </w:pPr>
      <w:r w:rsidRPr="003129A5">
        <w:rPr>
          <w:rFonts w:ascii="Times New Roman" w:hAnsi="Times New Roman"/>
          <w:b/>
          <w:sz w:val="22"/>
          <w:szCs w:val="22"/>
        </w:rPr>
        <w:t xml:space="preserve">emergency interim standards action: </w:t>
      </w:r>
      <w:r w:rsidRPr="003129A5">
        <w:rPr>
          <w:rFonts w:ascii="Times New Roman" w:hAnsi="Times New Roman"/>
          <w:sz w:val="22"/>
          <w:szCs w:val="22"/>
        </w:rPr>
        <w:t>action taken by the society President, without completing all elements of due process, on an ASHRAE standard or guideline that has been published or has received publication approval by the Board of Directors.  An emergency interim standards action has effect for limited duration and is for the exclusive purpose of correcting errors, other than errata, when failure to take timely corrective action would: substantively undermine the purpose or technical credibility of the standard or guideline, taken as a whole; or constitute undue risk to health or safety of the public or users of the standard or guideline.</w:t>
      </w:r>
    </w:p>
    <w:p w14:paraId="720EAE2B" w14:textId="77777777" w:rsidR="003129A5" w:rsidRPr="003129A5" w:rsidRDefault="003129A5" w:rsidP="0053237A">
      <w:pPr>
        <w:pStyle w:val="BodyText"/>
        <w:jc w:val="both"/>
        <w:rPr>
          <w:rFonts w:ascii="Times New Roman" w:hAnsi="Times New Roman"/>
          <w:sz w:val="22"/>
          <w:szCs w:val="22"/>
        </w:rPr>
      </w:pPr>
    </w:p>
    <w:p w14:paraId="3B0F1BDE" w14:textId="77777777" w:rsidR="00902D4A" w:rsidRPr="00745E61" w:rsidRDefault="00902D4A" w:rsidP="001641D5">
      <w:pPr>
        <w:pStyle w:val="StyleStyleHeading2TimesNewRomanJustified14ptSmallca"/>
      </w:pPr>
      <w:bookmarkStart w:id="5" w:name="_Toc132295453"/>
      <w:r w:rsidRPr="00745E61">
        <w:t>1.2 Membership</w:t>
      </w:r>
      <w:bookmarkEnd w:id="5"/>
    </w:p>
    <w:p w14:paraId="4DACE792" w14:textId="77777777" w:rsidR="00902D4A" w:rsidRPr="00745E61" w:rsidRDefault="00902D4A">
      <w:pPr>
        <w:jc w:val="both"/>
        <w:rPr>
          <w:sz w:val="22"/>
          <w:szCs w:val="22"/>
        </w:rPr>
      </w:pPr>
      <w:r w:rsidRPr="00745E61">
        <w:rPr>
          <w:sz w:val="22"/>
          <w:szCs w:val="22"/>
        </w:rPr>
        <w:t xml:space="preserve">The </w:t>
      </w:r>
      <w:proofErr w:type="spellStart"/>
      <w:r w:rsidR="003F2BC1" w:rsidRPr="00745E61">
        <w:rPr>
          <w:sz w:val="22"/>
          <w:szCs w:val="22"/>
        </w:rPr>
        <w:t>StdC</w:t>
      </w:r>
      <w:proofErr w:type="spellEnd"/>
      <w:r w:rsidR="002D2B1E">
        <w:rPr>
          <w:sz w:val="22"/>
          <w:szCs w:val="22"/>
        </w:rPr>
        <w:t xml:space="preserve"> shall consist of 26</w:t>
      </w:r>
      <w:r w:rsidRPr="00745E61">
        <w:rPr>
          <w:sz w:val="22"/>
          <w:szCs w:val="22"/>
        </w:rPr>
        <w:t xml:space="preserve"> voting members, including a Chair and a Vice Chair; in addition, a BOD Ex-Officio (</w:t>
      </w:r>
      <w:proofErr w:type="spellStart"/>
      <w:r w:rsidRPr="00745E61">
        <w:rPr>
          <w:sz w:val="22"/>
          <w:szCs w:val="22"/>
        </w:rPr>
        <w:t>ExO</w:t>
      </w:r>
      <w:proofErr w:type="spellEnd"/>
      <w:r w:rsidRPr="00745E61">
        <w:rPr>
          <w:sz w:val="22"/>
          <w:szCs w:val="22"/>
        </w:rPr>
        <w:t xml:space="preserve">) member and a Coordinating Officer (CO) are assigned.  Members of the </w:t>
      </w:r>
      <w:proofErr w:type="spellStart"/>
      <w:r w:rsidRPr="00745E61">
        <w:rPr>
          <w:sz w:val="22"/>
          <w:szCs w:val="22"/>
        </w:rPr>
        <w:t>StdC</w:t>
      </w:r>
      <w:proofErr w:type="spellEnd"/>
      <w:r w:rsidRPr="00745E61">
        <w:rPr>
          <w:sz w:val="22"/>
          <w:szCs w:val="22"/>
        </w:rPr>
        <w:t xml:space="preserve"> are elected for four (4) year terms</w:t>
      </w:r>
      <w:r w:rsidR="003129A5">
        <w:rPr>
          <w:sz w:val="22"/>
          <w:szCs w:val="22"/>
        </w:rPr>
        <w:t xml:space="preserve"> by the Board</w:t>
      </w:r>
      <w:r w:rsidRPr="00745E61">
        <w:rPr>
          <w:sz w:val="22"/>
          <w:szCs w:val="22"/>
        </w:rPr>
        <w:t>.  The Chair and Vice Chair are nominated by the President-Elect and appointed by the BOD.</w:t>
      </w:r>
    </w:p>
    <w:p w14:paraId="7D3C9BC2" w14:textId="77777777" w:rsidR="00902D4A" w:rsidRPr="00745E61" w:rsidRDefault="00902D4A">
      <w:pPr>
        <w:jc w:val="both"/>
        <w:rPr>
          <w:b/>
          <w:sz w:val="22"/>
          <w:szCs w:val="22"/>
        </w:rPr>
      </w:pPr>
    </w:p>
    <w:p w14:paraId="19306BDF" w14:textId="77777777" w:rsidR="00902D4A" w:rsidRPr="00745E61" w:rsidRDefault="00902D4A">
      <w:pPr>
        <w:jc w:val="both"/>
        <w:outlineLvl w:val="0"/>
        <w:rPr>
          <w:sz w:val="22"/>
          <w:szCs w:val="22"/>
        </w:rPr>
      </w:pPr>
      <w:r w:rsidRPr="00745E61">
        <w:rPr>
          <w:sz w:val="22"/>
          <w:szCs w:val="22"/>
        </w:rPr>
        <w:t xml:space="preserve">The President may appoint any person to serve in a consulting capacity to the </w:t>
      </w:r>
      <w:proofErr w:type="spellStart"/>
      <w:r w:rsidR="003F2BC1" w:rsidRPr="00745E61">
        <w:rPr>
          <w:sz w:val="22"/>
          <w:szCs w:val="22"/>
        </w:rPr>
        <w:t>StdC</w:t>
      </w:r>
      <w:proofErr w:type="spellEnd"/>
      <w:r w:rsidRPr="00745E61">
        <w:rPr>
          <w:sz w:val="22"/>
          <w:szCs w:val="22"/>
        </w:rPr>
        <w:t>.</w:t>
      </w:r>
    </w:p>
    <w:p w14:paraId="71A7105E" w14:textId="77777777" w:rsidR="00745E61" w:rsidRPr="00745E61" w:rsidRDefault="00745E61">
      <w:pPr>
        <w:jc w:val="both"/>
        <w:outlineLvl w:val="0"/>
        <w:rPr>
          <w:sz w:val="22"/>
          <w:szCs w:val="22"/>
        </w:rPr>
      </w:pPr>
    </w:p>
    <w:p w14:paraId="312BD57E" w14:textId="77777777" w:rsidR="00902D4A" w:rsidRPr="00745E61" w:rsidRDefault="00902D4A" w:rsidP="001641D5">
      <w:pPr>
        <w:pStyle w:val="StyleStyleHeading2TimesNewRomanJustified14ptSmallca"/>
      </w:pPr>
      <w:bookmarkStart w:id="6" w:name="_Toc132295454"/>
      <w:r w:rsidRPr="00745E61">
        <w:t>1.3 Meetings</w:t>
      </w:r>
      <w:bookmarkEnd w:id="6"/>
    </w:p>
    <w:p w14:paraId="79AA199D" w14:textId="77777777" w:rsidR="00902D4A" w:rsidRPr="00745E61" w:rsidRDefault="00902D4A">
      <w:pPr>
        <w:jc w:val="both"/>
        <w:rPr>
          <w:sz w:val="22"/>
          <w:szCs w:val="22"/>
        </w:rPr>
      </w:pPr>
      <w:r w:rsidRPr="00745E61">
        <w:rPr>
          <w:sz w:val="22"/>
          <w:szCs w:val="22"/>
        </w:rPr>
        <w:t xml:space="preserve">The </w:t>
      </w:r>
      <w:proofErr w:type="spellStart"/>
      <w:r w:rsidR="003F2BC1" w:rsidRPr="00745E61">
        <w:rPr>
          <w:sz w:val="22"/>
          <w:szCs w:val="22"/>
        </w:rPr>
        <w:t>StdC</w:t>
      </w:r>
      <w:proofErr w:type="spellEnd"/>
      <w:r w:rsidRPr="00745E61">
        <w:rPr>
          <w:sz w:val="22"/>
          <w:szCs w:val="22"/>
        </w:rPr>
        <w:t xml:space="preserve"> shall meet in conjunction with the ASHRAE Winter and Annual Meetings and is authorized to hold one additional meeting between each of the Society meetings</w:t>
      </w:r>
      <w:r w:rsidR="00333186" w:rsidRPr="00745E61">
        <w:rPr>
          <w:sz w:val="22"/>
          <w:szCs w:val="22"/>
        </w:rPr>
        <w:t>, up to four total per year</w:t>
      </w:r>
      <w:r w:rsidRPr="00745E61">
        <w:rPr>
          <w:sz w:val="22"/>
          <w:szCs w:val="22"/>
        </w:rPr>
        <w:t xml:space="preserve">.  Each member of the </w:t>
      </w:r>
      <w:proofErr w:type="spellStart"/>
      <w:r w:rsidR="003F2BC1" w:rsidRPr="00745E61">
        <w:rPr>
          <w:sz w:val="22"/>
          <w:szCs w:val="22"/>
        </w:rPr>
        <w:t>StdC</w:t>
      </w:r>
      <w:proofErr w:type="spellEnd"/>
      <w:r w:rsidRPr="00745E61">
        <w:rPr>
          <w:sz w:val="22"/>
          <w:szCs w:val="22"/>
        </w:rPr>
        <w:t xml:space="preserve"> is expected to attend all meetings of the </w:t>
      </w:r>
      <w:proofErr w:type="spellStart"/>
      <w:r w:rsidR="003F2BC1" w:rsidRPr="00745E61">
        <w:rPr>
          <w:sz w:val="22"/>
          <w:szCs w:val="22"/>
        </w:rPr>
        <w:t>StdC</w:t>
      </w:r>
      <w:proofErr w:type="spellEnd"/>
      <w:r w:rsidRPr="00745E61">
        <w:rPr>
          <w:sz w:val="22"/>
          <w:szCs w:val="22"/>
        </w:rPr>
        <w:t xml:space="preserve"> and the subcommittee on which he/she serves.  Transportation expenses will be reimbursed upon request.</w:t>
      </w:r>
      <w:r w:rsidR="003129A5">
        <w:rPr>
          <w:sz w:val="22"/>
          <w:szCs w:val="22"/>
        </w:rPr>
        <w:t xml:space="preserve"> Teleconference meetings are not limited.</w:t>
      </w:r>
      <w:r w:rsidRPr="00745E61">
        <w:rPr>
          <w:sz w:val="22"/>
          <w:szCs w:val="22"/>
        </w:rPr>
        <w:t xml:space="preserve">  (See </w:t>
      </w:r>
      <w:proofErr w:type="spellStart"/>
      <w:r w:rsidR="003C370B">
        <w:rPr>
          <w:sz w:val="22"/>
          <w:szCs w:val="22"/>
        </w:rPr>
        <w:t>StdC</w:t>
      </w:r>
      <w:proofErr w:type="spellEnd"/>
      <w:r w:rsidR="003C370B">
        <w:rPr>
          <w:sz w:val="22"/>
          <w:szCs w:val="22"/>
        </w:rPr>
        <w:t xml:space="preserve"> Reference Manual</w:t>
      </w:r>
      <w:r w:rsidR="007527AC">
        <w:rPr>
          <w:sz w:val="22"/>
          <w:szCs w:val="22"/>
        </w:rPr>
        <w:t xml:space="preserve"> </w:t>
      </w:r>
      <w:r w:rsidR="009543BD">
        <w:rPr>
          <w:sz w:val="22"/>
          <w:szCs w:val="22"/>
        </w:rPr>
        <w:t xml:space="preserve">Section </w:t>
      </w:r>
      <w:r w:rsidR="007527AC">
        <w:rPr>
          <w:sz w:val="22"/>
          <w:szCs w:val="22"/>
        </w:rPr>
        <w:t>1.1.3</w:t>
      </w:r>
      <w:r w:rsidRPr="00745E61">
        <w:rPr>
          <w:sz w:val="22"/>
          <w:szCs w:val="22"/>
        </w:rPr>
        <w:t>)</w:t>
      </w:r>
      <w:r w:rsidR="00064FB7">
        <w:rPr>
          <w:sz w:val="22"/>
          <w:szCs w:val="22"/>
        </w:rPr>
        <w:t>.</w:t>
      </w:r>
    </w:p>
    <w:p w14:paraId="0DA589E2" w14:textId="77777777" w:rsidR="00902D4A" w:rsidRPr="00745E61" w:rsidRDefault="00902D4A">
      <w:pPr>
        <w:jc w:val="both"/>
        <w:rPr>
          <w:sz w:val="22"/>
          <w:szCs w:val="22"/>
        </w:rPr>
      </w:pPr>
    </w:p>
    <w:p w14:paraId="22A761AB" w14:textId="77777777" w:rsidR="00902D4A" w:rsidRPr="00745E61" w:rsidRDefault="00902D4A" w:rsidP="001641D5">
      <w:pPr>
        <w:pStyle w:val="StyleStyleHeading2TimesNewRomanJustified14ptSmallca"/>
      </w:pPr>
      <w:bookmarkStart w:id="7" w:name="_Toc132295455"/>
      <w:r w:rsidRPr="00745E61">
        <w:t>1.4 Quorum</w:t>
      </w:r>
      <w:bookmarkEnd w:id="7"/>
    </w:p>
    <w:p w14:paraId="0A5AAA4D" w14:textId="77777777" w:rsidR="00902D4A" w:rsidRPr="00745E61" w:rsidRDefault="00902D4A">
      <w:pPr>
        <w:jc w:val="both"/>
        <w:rPr>
          <w:sz w:val="22"/>
          <w:szCs w:val="22"/>
        </w:rPr>
      </w:pPr>
      <w:r w:rsidRPr="00745E61">
        <w:rPr>
          <w:sz w:val="22"/>
          <w:szCs w:val="22"/>
        </w:rPr>
        <w:t xml:space="preserve">To conduct business at a meeting of the </w:t>
      </w:r>
      <w:proofErr w:type="spellStart"/>
      <w:r w:rsidRPr="00745E61">
        <w:rPr>
          <w:sz w:val="22"/>
          <w:szCs w:val="22"/>
        </w:rPr>
        <w:t>StdC</w:t>
      </w:r>
      <w:proofErr w:type="spellEnd"/>
      <w:r w:rsidRPr="00745E61">
        <w:rPr>
          <w:sz w:val="22"/>
          <w:szCs w:val="22"/>
        </w:rPr>
        <w:t xml:space="preserve"> or its Subcommittees, a quorum</w:t>
      </w:r>
      <w:r w:rsidR="007A062D">
        <w:rPr>
          <w:sz w:val="22"/>
          <w:szCs w:val="22"/>
        </w:rPr>
        <w:t xml:space="preserve"> (</w:t>
      </w:r>
      <w:r w:rsidR="003129A5">
        <w:rPr>
          <w:sz w:val="22"/>
          <w:szCs w:val="22"/>
        </w:rPr>
        <w:t>of more than half of the voting membership of the body</w:t>
      </w:r>
      <w:r w:rsidR="007A062D">
        <w:rPr>
          <w:sz w:val="22"/>
          <w:szCs w:val="22"/>
        </w:rPr>
        <w:t>)</w:t>
      </w:r>
      <w:r w:rsidRPr="00745E61">
        <w:rPr>
          <w:sz w:val="22"/>
          <w:szCs w:val="22"/>
        </w:rPr>
        <w:t xml:space="preserve"> shall be present.</w:t>
      </w:r>
    </w:p>
    <w:p w14:paraId="534402E5" w14:textId="77777777" w:rsidR="00902D4A" w:rsidRPr="00745E61" w:rsidRDefault="00902D4A" w:rsidP="00FA5260">
      <w:pPr>
        <w:rPr>
          <w:b/>
          <w:smallCaps/>
          <w:sz w:val="22"/>
          <w:szCs w:val="22"/>
        </w:rPr>
      </w:pPr>
    </w:p>
    <w:p w14:paraId="732FEA7F" w14:textId="77777777" w:rsidR="00902D4A" w:rsidRPr="00745E61" w:rsidRDefault="00902D4A" w:rsidP="001641D5">
      <w:pPr>
        <w:pStyle w:val="StyleStyleHeading2TimesNewRomanJustified14ptSmallca"/>
      </w:pPr>
      <w:bookmarkStart w:id="8" w:name="_Toc132295456"/>
      <w:r w:rsidRPr="00745E61">
        <w:t>1.5 Operating Procedures</w:t>
      </w:r>
      <w:bookmarkEnd w:id="8"/>
    </w:p>
    <w:p w14:paraId="10440C24" w14:textId="77777777" w:rsidR="00902D4A" w:rsidRPr="00745E61" w:rsidRDefault="00902D4A">
      <w:pPr>
        <w:jc w:val="both"/>
        <w:rPr>
          <w:b/>
          <w:sz w:val="22"/>
          <w:szCs w:val="22"/>
        </w:rPr>
      </w:pPr>
    </w:p>
    <w:p w14:paraId="1D927A40" w14:textId="77777777" w:rsidR="00902D4A" w:rsidRPr="00745E61" w:rsidRDefault="00902D4A" w:rsidP="00FA5260">
      <w:pPr>
        <w:rPr>
          <w:b/>
          <w:sz w:val="22"/>
          <w:szCs w:val="22"/>
        </w:rPr>
      </w:pPr>
      <w:r w:rsidRPr="00745E61">
        <w:rPr>
          <w:b/>
          <w:sz w:val="22"/>
          <w:szCs w:val="22"/>
        </w:rPr>
        <w:t>1.5.1 Governance</w:t>
      </w:r>
    </w:p>
    <w:p w14:paraId="1768B36F" w14:textId="77777777" w:rsidR="00902D4A" w:rsidRPr="00745E61" w:rsidRDefault="00902D4A">
      <w:pPr>
        <w:jc w:val="both"/>
        <w:rPr>
          <w:sz w:val="22"/>
          <w:szCs w:val="22"/>
        </w:rPr>
      </w:pPr>
      <w:r w:rsidRPr="00745E61">
        <w:rPr>
          <w:sz w:val="22"/>
          <w:szCs w:val="22"/>
        </w:rPr>
        <w:t xml:space="preserve">The </w:t>
      </w:r>
      <w:proofErr w:type="spellStart"/>
      <w:r w:rsidR="003F2BC1" w:rsidRPr="00745E61">
        <w:rPr>
          <w:sz w:val="22"/>
          <w:szCs w:val="22"/>
        </w:rPr>
        <w:t>StdC’s</w:t>
      </w:r>
      <w:proofErr w:type="spellEnd"/>
      <w:r w:rsidRPr="00745E61">
        <w:rPr>
          <w:sz w:val="22"/>
          <w:szCs w:val="22"/>
        </w:rPr>
        <w:t xml:space="preserve"> governing procedures are provided in this Manual of Procedures.  Additional information is given in the </w:t>
      </w:r>
      <w:r w:rsidR="00AC020F">
        <w:rPr>
          <w:sz w:val="22"/>
          <w:szCs w:val="22"/>
        </w:rPr>
        <w:t>ROB</w:t>
      </w:r>
      <w:r w:rsidR="0041307F">
        <w:rPr>
          <w:sz w:val="22"/>
          <w:szCs w:val="22"/>
        </w:rPr>
        <w:t>,</w:t>
      </w:r>
      <w:r w:rsidR="00064FB7">
        <w:rPr>
          <w:sz w:val="22"/>
          <w:szCs w:val="22"/>
        </w:rPr>
        <w:t xml:space="preserve"> </w:t>
      </w:r>
      <w:r w:rsidRPr="00745E61">
        <w:rPr>
          <w:sz w:val="22"/>
          <w:szCs w:val="22"/>
        </w:rPr>
        <w:t>PASA</w:t>
      </w:r>
      <w:r w:rsidR="0041307F">
        <w:rPr>
          <w:sz w:val="22"/>
          <w:szCs w:val="22"/>
        </w:rPr>
        <w:t xml:space="preserve">, and the </w:t>
      </w:r>
      <w:proofErr w:type="spellStart"/>
      <w:r w:rsidR="0041307F">
        <w:rPr>
          <w:sz w:val="22"/>
          <w:szCs w:val="22"/>
        </w:rPr>
        <w:t>StdC</w:t>
      </w:r>
      <w:proofErr w:type="spellEnd"/>
      <w:r w:rsidR="0041307F">
        <w:rPr>
          <w:sz w:val="22"/>
          <w:szCs w:val="22"/>
        </w:rPr>
        <w:t xml:space="preserve"> Reference Manual</w:t>
      </w:r>
      <w:r w:rsidRPr="00745E61">
        <w:rPr>
          <w:sz w:val="22"/>
          <w:szCs w:val="22"/>
        </w:rPr>
        <w:t xml:space="preserve">.  </w:t>
      </w:r>
    </w:p>
    <w:p w14:paraId="26B8560F" w14:textId="77777777" w:rsidR="00902D4A" w:rsidRPr="00745E61" w:rsidRDefault="00902D4A">
      <w:pPr>
        <w:jc w:val="both"/>
        <w:rPr>
          <w:sz w:val="22"/>
          <w:szCs w:val="22"/>
        </w:rPr>
      </w:pPr>
    </w:p>
    <w:p w14:paraId="08CA41CA" w14:textId="77777777" w:rsidR="00902D4A" w:rsidRPr="00745E61" w:rsidRDefault="00902D4A" w:rsidP="00FA5260">
      <w:pPr>
        <w:rPr>
          <w:b/>
          <w:sz w:val="22"/>
          <w:szCs w:val="22"/>
        </w:rPr>
      </w:pPr>
      <w:r w:rsidRPr="00745E61">
        <w:rPr>
          <w:b/>
          <w:sz w:val="22"/>
          <w:szCs w:val="22"/>
        </w:rPr>
        <w:t>1.5.2 Interpretation of Procedures</w:t>
      </w:r>
    </w:p>
    <w:p w14:paraId="524A88AC" w14:textId="77777777" w:rsidR="00902D4A" w:rsidRDefault="00902D4A">
      <w:pPr>
        <w:jc w:val="both"/>
        <w:rPr>
          <w:sz w:val="22"/>
          <w:szCs w:val="22"/>
        </w:rPr>
      </w:pPr>
      <w:r w:rsidRPr="00745E61">
        <w:rPr>
          <w:sz w:val="22"/>
          <w:szCs w:val="22"/>
        </w:rPr>
        <w:t xml:space="preserve">Interpretations of the </w:t>
      </w:r>
      <w:proofErr w:type="spellStart"/>
      <w:r w:rsidRPr="00745E61">
        <w:rPr>
          <w:sz w:val="22"/>
          <w:szCs w:val="22"/>
        </w:rPr>
        <w:t>StdC</w:t>
      </w:r>
      <w:proofErr w:type="spellEnd"/>
      <w:r w:rsidRPr="00745E61">
        <w:rPr>
          <w:sz w:val="22"/>
          <w:szCs w:val="22"/>
        </w:rPr>
        <w:t xml:space="preserve"> MOP </w:t>
      </w:r>
      <w:r w:rsidR="003129A5">
        <w:rPr>
          <w:sz w:val="22"/>
          <w:szCs w:val="22"/>
        </w:rPr>
        <w:t xml:space="preserve">will </w:t>
      </w:r>
      <w:r w:rsidRPr="00745E61">
        <w:rPr>
          <w:sz w:val="22"/>
          <w:szCs w:val="22"/>
        </w:rPr>
        <w:t xml:space="preserve">be </w:t>
      </w:r>
      <w:r w:rsidR="003129A5">
        <w:rPr>
          <w:sz w:val="22"/>
          <w:szCs w:val="22"/>
        </w:rPr>
        <w:t xml:space="preserve">provided </w:t>
      </w:r>
      <w:r w:rsidRPr="00745E61">
        <w:rPr>
          <w:sz w:val="22"/>
          <w:szCs w:val="22"/>
        </w:rPr>
        <w:t>by Technology Council</w:t>
      </w:r>
      <w:r w:rsidR="003C370B">
        <w:rPr>
          <w:sz w:val="22"/>
          <w:szCs w:val="22"/>
        </w:rPr>
        <w:t xml:space="preserve"> or its designee</w:t>
      </w:r>
      <w:r w:rsidRPr="00745E61">
        <w:rPr>
          <w:sz w:val="22"/>
          <w:szCs w:val="22"/>
        </w:rPr>
        <w:t xml:space="preserve">.  </w:t>
      </w:r>
    </w:p>
    <w:p w14:paraId="106A015C" w14:textId="77777777" w:rsidR="00574DAD" w:rsidRDefault="00574DAD">
      <w:pPr>
        <w:jc w:val="both"/>
        <w:rPr>
          <w:sz w:val="22"/>
          <w:szCs w:val="22"/>
        </w:rPr>
      </w:pPr>
    </w:p>
    <w:p w14:paraId="4DC2D5DA" w14:textId="77777777" w:rsidR="00574DAD" w:rsidRDefault="00574DAD">
      <w:pPr>
        <w:jc w:val="both"/>
        <w:rPr>
          <w:sz w:val="22"/>
          <w:szCs w:val="22"/>
        </w:rPr>
      </w:pPr>
      <w:r w:rsidRPr="00CB5398">
        <w:rPr>
          <w:b/>
          <w:sz w:val="22"/>
          <w:szCs w:val="22"/>
        </w:rPr>
        <w:t>1.5.3</w:t>
      </w:r>
      <w:r>
        <w:rPr>
          <w:sz w:val="22"/>
          <w:szCs w:val="22"/>
        </w:rPr>
        <w:t xml:space="preserve">  </w:t>
      </w:r>
      <w:r w:rsidRPr="000B155C">
        <w:rPr>
          <w:b/>
          <w:sz w:val="22"/>
          <w:szCs w:val="22"/>
        </w:rPr>
        <w:t>Approval of Standards related actions</w:t>
      </w:r>
    </w:p>
    <w:p w14:paraId="4692E536" w14:textId="77777777" w:rsidR="00574DAD" w:rsidRPr="00745E61" w:rsidRDefault="00574DAD">
      <w:pPr>
        <w:jc w:val="both"/>
        <w:rPr>
          <w:sz w:val="22"/>
          <w:szCs w:val="22"/>
        </w:rPr>
      </w:pPr>
      <w:r>
        <w:rPr>
          <w:sz w:val="22"/>
          <w:szCs w:val="22"/>
        </w:rPr>
        <w:t>The table in section 7 shall be the governing approval</w:t>
      </w:r>
      <w:r w:rsidR="000B155C">
        <w:rPr>
          <w:sz w:val="22"/>
          <w:szCs w:val="22"/>
        </w:rPr>
        <w:t xml:space="preserve"> sequence.</w:t>
      </w:r>
    </w:p>
    <w:p w14:paraId="0C701A5E" w14:textId="77777777" w:rsidR="00064FB7" w:rsidRDefault="00064FB7" w:rsidP="001641D5">
      <w:pPr>
        <w:pStyle w:val="StyleStyleHeading2TimesNewRomanJustified14ptSmallca"/>
      </w:pPr>
    </w:p>
    <w:p w14:paraId="43B04225" w14:textId="77777777" w:rsidR="00E75166" w:rsidRPr="001E7819" w:rsidRDefault="00E75166" w:rsidP="00E75166">
      <w:pPr>
        <w:pStyle w:val="StyleStyleHeading2TimesNewRomanJustified14ptSmallca"/>
        <w:rPr>
          <w:rFonts w:ascii="Times New Roman" w:hAnsi="Times New Roman"/>
        </w:rPr>
      </w:pPr>
      <w:bookmarkStart w:id="9" w:name="_Toc132295457"/>
      <w:r w:rsidRPr="001E7819">
        <w:rPr>
          <w:rFonts w:ascii="Times New Roman" w:hAnsi="Times New Roman"/>
        </w:rPr>
        <w:t>1.6 Voting</w:t>
      </w:r>
      <w:bookmarkEnd w:id="9"/>
    </w:p>
    <w:p w14:paraId="5BE64F8B" w14:textId="77777777" w:rsidR="00E75166" w:rsidRPr="001E7819" w:rsidRDefault="00E75166" w:rsidP="00E75166">
      <w:pPr>
        <w:rPr>
          <w:b/>
          <w:bCs/>
          <w:sz w:val="22"/>
          <w:szCs w:val="22"/>
        </w:rPr>
      </w:pPr>
    </w:p>
    <w:p w14:paraId="2D8679FD" w14:textId="77777777" w:rsidR="00E75166" w:rsidRPr="001E7819" w:rsidRDefault="00E75166" w:rsidP="00E75166">
      <w:pPr>
        <w:rPr>
          <w:b/>
          <w:bCs/>
          <w:sz w:val="22"/>
          <w:szCs w:val="22"/>
        </w:rPr>
      </w:pPr>
      <w:bookmarkStart w:id="10" w:name="_Hlk33526519"/>
      <w:r w:rsidRPr="001E7819">
        <w:rPr>
          <w:b/>
          <w:bCs/>
          <w:sz w:val="22"/>
          <w:szCs w:val="22"/>
        </w:rPr>
        <w:t>1.6.1 Voting Rules for Meetings</w:t>
      </w:r>
    </w:p>
    <w:p w14:paraId="1B02A75E" w14:textId="3B9EF03C" w:rsidR="00097096" w:rsidRPr="00AD778A" w:rsidRDefault="00097096" w:rsidP="00097096">
      <w:pPr>
        <w:autoSpaceDE w:val="0"/>
        <w:autoSpaceDN w:val="0"/>
        <w:rPr>
          <w:rFonts w:eastAsia="Calibri"/>
          <w:strike/>
          <w:sz w:val="22"/>
          <w:szCs w:val="22"/>
        </w:rPr>
      </w:pPr>
      <w:r w:rsidRPr="00AD778A">
        <w:rPr>
          <w:rFonts w:eastAsia="Calibri"/>
          <w:sz w:val="22"/>
          <w:szCs w:val="22"/>
        </w:rPr>
        <w:t xml:space="preserve">Actions of the </w:t>
      </w:r>
      <w:proofErr w:type="spellStart"/>
      <w:r w:rsidRPr="00AD778A">
        <w:rPr>
          <w:rFonts w:eastAsia="Calibri"/>
          <w:sz w:val="22"/>
          <w:szCs w:val="22"/>
        </w:rPr>
        <w:t>StdC</w:t>
      </w:r>
      <w:proofErr w:type="spellEnd"/>
      <w:r w:rsidRPr="00AD778A">
        <w:rPr>
          <w:rFonts w:eastAsia="Calibri"/>
          <w:sz w:val="22"/>
          <w:szCs w:val="22"/>
        </w:rPr>
        <w:t xml:space="preserve"> require approval by a majority of </w:t>
      </w:r>
      <w:r w:rsidR="004C618D">
        <w:rPr>
          <w:rFonts w:eastAsia="Calibri"/>
          <w:sz w:val="22"/>
          <w:szCs w:val="22"/>
        </w:rPr>
        <w:t>the voting membership</w:t>
      </w:r>
      <w:r w:rsidRPr="00AD778A">
        <w:rPr>
          <w:rFonts w:eastAsia="Calibri"/>
          <w:sz w:val="22"/>
          <w:szCs w:val="22"/>
        </w:rPr>
        <w:t xml:space="preserve">. </w:t>
      </w:r>
    </w:p>
    <w:p w14:paraId="4FDB8D6D" w14:textId="77777777" w:rsidR="00E75166" w:rsidRDefault="00E75166" w:rsidP="00E75166">
      <w:pPr>
        <w:jc w:val="both"/>
        <w:rPr>
          <w:sz w:val="22"/>
          <w:szCs w:val="22"/>
        </w:rPr>
      </w:pPr>
    </w:p>
    <w:p w14:paraId="34CD64FE" w14:textId="77777777" w:rsidR="00E75166" w:rsidRPr="001E7819" w:rsidRDefault="00E75166" w:rsidP="00E75166">
      <w:pPr>
        <w:rPr>
          <w:b/>
          <w:bCs/>
          <w:sz w:val="22"/>
          <w:szCs w:val="22"/>
        </w:rPr>
      </w:pPr>
      <w:r w:rsidRPr="001E7819">
        <w:rPr>
          <w:b/>
          <w:bCs/>
          <w:sz w:val="22"/>
          <w:szCs w:val="22"/>
        </w:rPr>
        <w:t>1.6.2 Voting Rules for Letter Ballots</w:t>
      </w:r>
    </w:p>
    <w:p w14:paraId="46A8284F" w14:textId="77777777" w:rsidR="00E75166" w:rsidRPr="007006CB" w:rsidRDefault="00E75166" w:rsidP="008F59F3">
      <w:pPr>
        <w:rPr>
          <w:b/>
          <w:sz w:val="22"/>
          <w:szCs w:val="22"/>
        </w:rPr>
      </w:pPr>
      <w:r w:rsidRPr="001E7819">
        <w:rPr>
          <w:sz w:val="22"/>
          <w:szCs w:val="22"/>
        </w:rPr>
        <w:t xml:space="preserve">The Chair of the </w:t>
      </w:r>
      <w:proofErr w:type="spellStart"/>
      <w:r w:rsidRPr="001E7819">
        <w:rPr>
          <w:sz w:val="22"/>
          <w:szCs w:val="22"/>
        </w:rPr>
        <w:t>StdC</w:t>
      </w:r>
      <w:proofErr w:type="spellEnd"/>
      <w:r w:rsidR="007006CB">
        <w:rPr>
          <w:sz w:val="22"/>
          <w:szCs w:val="22"/>
        </w:rPr>
        <w:t xml:space="preserve"> </w:t>
      </w:r>
      <w:r w:rsidRPr="001E7819">
        <w:rPr>
          <w:sz w:val="22"/>
          <w:szCs w:val="22"/>
        </w:rPr>
        <w:t xml:space="preserve">may authorize a letter ballot to be issued on any matter.  </w:t>
      </w:r>
      <w:r w:rsidR="00097096">
        <w:rPr>
          <w:sz w:val="22"/>
          <w:szCs w:val="22"/>
        </w:rPr>
        <w:t>A</w:t>
      </w:r>
      <w:r w:rsidRPr="007006CB">
        <w:rPr>
          <w:sz w:val="22"/>
          <w:szCs w:val="22"/>
        </w:rPr>
        <w:t>ctions</w:t>
      </w:r>
      <w:r w:rsidRPr="001E7819">
        <w:rPr>
          <w:sz w:val="22"/>
          <w:szCs w:val="22"/>
        </w:rPr>
        <w:t xml:space="preserve"> of the </w:t>
      </w:r>
      <w:proofErr w:type="spellStart"/>
      <w:r w:rsidRPr="001E7819">
        <w:rPr>
          <w:sz w:val="22"/>
          <w:szCs w:val="22"/>
        </w:rPr>
        <w:t>StdC</w:t>
      </w:r>
      <w:proofErr w:type="spellEnd"/>
      <w:r w:rsidRPr="001E7819">
        <w:rPr>
          <w:sz w:val="22"/>
          <w:szCs w:val="22"/>
        </w:rPr>
        <w:t xml:space="preserve"> conducted by letter ballot require approval by a majority of the voting membership of the committee</w:t>
      </w:r>
      <w:r w:rsidR="00097096">
        <w:rPr>
          <w:sz w:val="22"/>
          <w:szCs w:val="22"/>
        </w:rPr>
        <w:t>, excluding abstentions</w:t>
      </w:r>
      <w:r w:rsidRPr="001E7819">
        <w:rPr>
          <w:sz w:val="22"/>
          <w:szCs w:val="22"/>
        </w:rPr>
        <w:t xml:space="preserve">.  </w:t>
      </w:r>
    </w:p>
    <w:bookmarkEnd w:id="10"/>
    <w:p w14:paraId="3C1F35D7" w14:textId="77777777" w:rsidR="007006CB" w:rsidRPr="00745E61" w:rsidRDefault="007006CB" w:rsidP="007006CB">
      <w:pPr>
        <w:ind w:left="1080"/>
        <w:rPr>
          <w:b/>
          <w:sz w:val="22"/>
          <w:szCs w:val="22"/>
        </w:rPr>
      </w:pPr>
    </w:p>
    <w:p w14:paraId="14615C77" w14:textId="77777777" w:rsidR="00E75166" w:rsidRPr="001E7819" w:rsidRDefault="00E75166" w:rsidP="00E75166">
      <w:pPr>
        <w:rPr>
          <w:b/>
          <w:bCs/>
          <w:sz w:val="22"/>
          <w:szCs w:val="22"/>
        </w:rPr>
      </w:pPr>
      <w:r w:rsidRPr="001E7819">
        <w:rPr>
          <w:b/>
          <w:bCs/>
          <w:sz w:val="22"/>
          <w:szCs w:val="22"/>
        </w:rPr>
        <w:t xml:space="preserve">1.6.2.1 Negative Votes on Letter Ballots </w:t>
      </w:r>
    </w:p>
    <w:p w14:paraId="7624EF29" w14:textId="77777777" w:rsidR="00E75166" w:rsidRPr="007006CB" w:rsidRDefault="00E75166" w:rsidP="00E75166">
      <w:pPr>
        <w:jc w:val="both"/>
        <w:rPr>
          <w:sz w:val="22"/>
          <w:szCs w:val="22"/>
        </w:rPr>
      </w:pPr>
      <w:r w:rsidRPr="007006CB">
        <w:rPr>
          <w:sz w:val="22"/>
          <w:szCs w:val="22"/>
        </w:rPr>
        <w:t xml:space="preserve">Negative voters on a </w:t>
      </w:r>
      <w:proofErr w:type="spellStart"/>
      <w:r w:rsidRPr="007006CB">
        <w:rPr>
          <w:sz w:val="22"/>
          <w:szCs w:val="22"/>
        </w:rPr>
        <w:t>StdC</w:t>
      </w:r>
      <w:proofErr w:type="spellEnd"/>
      <w:r w:rsidRPr="007006CB">
        <w:rPr>
          <w:sz w:val="22"/>
          <w:szCs w:val="22"/>
        </w:rPr>
        <w:t xml:space="preserve"> or its subcommittee’s letter ballot shall be requested to comment on reasons for their negative vote</w:t>
      </w:r>
      <w:r w:rsidRPr="007006CB">
        <w:rPr>
          <w:strike/>
          <w:sz w:val="22"/>
          <w:szCs w:val="22"/>
        </w:rPr>
        <w:t>s</w:t>
      </w:r>
      <w:r w:rsidRPr="007006CB">
        <w:rPr>
          <w:sz w:val="22"/>
          <w:szCs w:val="22"/>
        </w:rPr>
        <w:t>.</w:t>
      </w:r>
      <w:r w:rsidR="00C960A0" w:rsidRPr="007006CB">
        <w:rPr>
          <w:sz w:val="22"/>
          <w:szCs w:val="22"/>
        </w:rPr>
        <w:t xml:space="preserve"> If a reason is not provided for a negative vote, the ballot is final. </w:t>
      </w:r>
      <w:r w:rsidRPr="007006CB">
        <w:rPr>
          <w:sz w:val="22"/>
          <w:szCs w:val="22"/>
        </w:rPr>
        <w:t>If the ballot passes with one or more negative votes</w:t>
      </w:r>
      <w:r w:rsidR="00C960A0" w:rsidRPr="007006CB">
        <w:rPr>
          <w:sz w:val="22"/>
          <w:szCs w:val="22"/>
        </w:rPr>
        <w:t xml:space="preserve"> with comments</w:t>
      </w:r>
      <w:r w:rsidRPr="007006CB">
        <w:rPr>
          <w:sz w:val="22"/>
          <w:szCs w:val="22"/>
        </w:rPr>
        <w:t>, the results shall be held in abeyance until the comments (if any), Chair’s rebuttal (if any) and letter ballot results are transmitted to all eligible voters and they are given an opportunity, not to exceed two weeks, to change their vote</w:t>
      </w:r>
      <w:r w:rsidRPr="007006CB">
        <w:rPr>
          <w:strike/>
          <w:sz w:val="22"/>
          <w:szCs w:val="22"/>
        </w:rPr>
        <w:t>s</w:t>
      </w:r>
      <w:r w:rsidRPr="007006CB">
        <w:rPr>
          <w:sz w:val="22"/>
          <w:szCs w:val="22"/>
        </w:rPr>
        <w:t xml:space="preserve"> or to vote. When this opportunity to vote has expired, the results shall be final. The final letter ballot results and all negative vote comments received shall be provided to the voting members and included when submitting for subsequent approvals steps. </w:t>
      </w:r>
    </w:p>
    <w:p w14:paraId="01F7DF00" w14:textId="77777777" w:rsidR="00E75166" w:rsidRPr="00745E61" w:rsidRDefault="00E75166">
      <w:pPr>
        <w:jc w:val="both"/>
        <w:rPr>
          <w:sz w:val="22"/>
          <w:szCs w:val="22"/>
        </w:rPr>
      </w:pPr>
    </w:p>
    <w:p w14:paraId="1D32B415" w14:textId="77777777" w:rsidR="00902D4A" w:rsidRPr="00745E61" w:rsidRDefault="00902D4A" w:rsidP="00CB2107">
      <w:pPr>
        <w:rPr>
          <w:b/>
          <w:sz w:val="22"/>
          <w:szCs w:val="22"/>
        </w:rPr>
      </w:pPr>
      <w:r w:rsidRPr="00745E61">
        <w:rPr>
          <w:b/>
          <w:sz w:val="22"/>
          <w:szCs w:val="22"/>
        </w:rPr>
        <w:t>1.6.3 Rules for the Chair for Voting at a Meeting or by Letter Ballot.</w:t>
      </w:r>
    </w:p>
    <w:p w14:paraId="3D333C22" w14:textId="77777777" w:rsidR="00902D4A" w:rsidRPr="00745E61" w:rsidRDefault="00902D4A">
      <w:pPr>
        <w:rPr>
          <w:sz w:val="22"/>
          <w:szCs w:val="22"/>
        </w:rPr>
      </w:pPr>
      <w:r w:rsidRPr="00745E61">
        <w:rPr>
          <w:sz w:val="22"/>
          <w:szCs w:val="22"/>
        </w:rPr>
        <w:t xml:space="preserve">The </w:t>
      </w:r>
      <w:r w:rsidR="00012605" w:rsidRPr="00745E61">
        <w:rPr>
          <w:sz w:val="22"/>
          <w:szCs w:val="22"/>
        </w:rPr>
        <w:t xml:space="preserve">Chair </w:t>
      </w:r>
      <w:r w:rsidRPr="00745E61">
        <w:rPr>
          <w:sz w:val="22"/>
          <w:szCs w:val="22"/>
        </w:rPr>
        <w:t>of the committee may vote on any motion before his committee in accordance with Roberts Rules of Order</w:t>
      </w:r>
      <w:r w:rsidR="0041307F">
        <w:rPr>
          <w:sz w:val="22"/>
          <w:szCs w:val="22"/>
        </w:rPr>
        <w:t>.</w:t>
      </w:r>
    </w:p>
    <w:p w14:paraId="7196BF29" w14:textId="77777777" w:rsidR="00902D4A" w:rsidRPr="00745E61" w:rsidRDefault="00902D4A">
      <w:pPr>
        <w:rPr>
          <w:sz w:val="22"/>
          <w:szCs w:val="22"/>
        </w:rPr>
      </w:pPr>
    </w:p>
    <w:p w14:paraId="3F308DCB" w14:textId="77777777" w:rsidR="00902D4A" w:rsidRPr="00011770" w:rsidRDefault="00902D4A" w:rsidP="00EB1362">
      <w:pPr>
        <w:pStyle w:val="Heading2"/>
        <w:rPr>
          <w:rFonts w:ascii="Times New Roman Bold" w:hAnsi="Times New Roman Bold"/>
          <w:caps/>
        </w:rPr>
      </w:pPr>
      <w:bookmarkStart w:id="11" w:name="_Toc132295458"/>
      <w:r w:rsidRPr="00AA15A4">
        <w:rPr>
          <w:rFonts w:ascii="Times New Roman Bold" w:hAnsi="Times New Roman Bold"/>
          <w:caps/>
          <w:sz w:val="22"/>
          <w:szCs w:val="22"/>
        </w:rPr>
        <w:t xml:space="preserve">1.7 Complaints of Actions or Inactions by the </w:t>
      </w:r>
      <w:r w:rsidR="003F2BC1" w:rsidRPr="00AA15A4">
        <w:rPr>
          <w:rFonts w:ascii="Times New Roman Bold" w:hAnsi="Times New Roman Bold"/>
          <w:caps/>
          <w:sz w:val="22"/>
          <w:szCs w:val="22"/>
        </w:rPr>
        <w:t>StdC</w:t>
      </w:r>
      <w:r w:rsidRPr="00AA15A4">
        <w:rPr>
          <w:rFonts w:ascii="Times New Roman Bold" w:hAnsi="Times New Roman Bold"/>
          <w:caps/>
          <w:sz w:val="22"/>
          <w:szCs w:val="22"/>
        </w:rPr>
        <w:t xml:space="preserve">, its Subcommittees or </w:t>
      </w:r>
      <w:r w:rsidR="003F2BC1" w:rsidRPr="00AA15A4">
        <w:rPr>
          <w:rFonts w:ascii="Times New Roman Bold" w:hAnsi="Times New Roman Bold"/>
          <w:caps/>
          <w:sz w:val="22"/>
          <w:szCs w:val="22"/>
        </w:rPr>
        <w:t>PCs</w:t>
      </w:r>
      <w:bookmarkEnd w:id="11"/>
    </w:p>
    <w:p w14:paraId="44BC6F00" w14:textId="75356C39" w:rsidR="0007002C" w:rsidRPr="00745E61" w:rsidRDefault="00902D4A" w:rsidP="00EB1362">
      <w:pPr>
        <w:rPr>
          <w:sz w:val="22"/>
          <w:szCs w:val="22"/>
        </w:rPr>
      </w:pPr>
      <w:r w:rsidRPr="00745E61">
        <w:rPr>
          <w:sz w:val="22"/>
          <w:szCs w:val="22"/>
        </w:rPr>
        <w:t xml:space="preserve">In addition to formal appeal of </w:t>
      </w:r>
      <w:r w:rsidR="00FB1569" w:rsidRPr="00AA15A4">
        <w:rPr>
          <w:sz w:val="22"/>
          <w:szCs w:val="22"/>
        </w:rPr>
        <w:t xml:space="preserve">Standards Committee </w:t>
      </w:r>
      <w:r w:rsidRPr="00745E61">
        <w:rPr>
          <w:sz w:val="22"/>
          <w:szCs w:val="22"/>
        </w:rPr>
        <w:t>Standa</w:t>
      </w:r>
      <w:r w:rsidR="0092571A" w:rsidRPr="00745E61">
        <w:rPr>
          <w:sz w:val="22"/>
          <w:szCs w:val="22"/>
        </w:rPr>
        <w:t xml:space="preserve">rds actions or inactions (PASA </w:t>
      </w:r>
      <w:r w:rsidR="00064FB7">
        <w:rPr>
          <w:sz w:val="22"/>
          <w:szCs w:val="22"/>
        </w:rPr>
        <w:t>Appendix</w:t>
      </w:r>
      <w:r w:rsidRPr="00745E61">
        <w:rPr>
          <w:sz w:val="22"/>
          <w:szCs w:val="22"/>
        </w:rPr>
        <w:t xml:space="preserve"> B), failure of the </w:t>
      </w:r>
      <w:proofErr w:type="spellStart"/>
      <w:r w:rsidR="003F2BC1" w:rsidRPr="00745E61">
        <w:rPr>
          <w:sz w:val="22"/>
          <w:szCs w:val="22"/>
        </w:rPr>
        <w:t>StdC</w:t>
      </w:r>
      <w:proofErr w:type="spellEnd"/>
      <w:r w:rsidRPr="00745E61">
        <w:rPr>
          <w:sz w:val="22"/>
          <w:szCs w:val="22"/>
        </w:rPr>
        <w:t xml:space="preserve">, its subcommittee(s), or a </w:t>
      </w:r>
      <w:r w:rsidR="003F2BC1" w:rsidRPr="00745E61">
        <w:rPr>
          <w:sz w:val="22"/>
          <w:szCs w:val="22"/>
        </w:rPr>
        <w:t>PC</w:t>
      </w:r>
      <w:r w:rsidRPr="00745E61">
        <w:rPr>
          <w:sz w:val="22"/>
          <w:szCs w:val="22"/>
        </w:rPr>
        <w:t xml:space="preserve"> to consider a written </w:t>
      </w:r>
      <w:r w:rsidR="005E774F">
        <w:rPr>
          <w:sz w:val="22"/>
          <w:szCs w:val="22"/>
        </w:rPr>
        <w:t>complaint</w:t>
      </w:r>
      <w:r w:rsidRPr="00745E61">
        <w:rPr>
          <w:sz w:val="22"/>
          <w:szCs w:val="22"/>
        </w:rPr>
        <w:t xml:space="preserve"> may be addressed </w:t>
      </w:r>
      <w:r w:rsidR="005E774F">
        <w:rPr>
          <w:sz w:val="22"/>
          <w:szCs w:val="22"/>
        </w:rPr>
        <w:t>in accordance with Appendix C of PASA. The filing fee is $400.</w:t>
      </w:r>
      <w:r w:rsidRPr="00745E61">
        <w:rPr>
          <w:sz w:val="22"/>
          <w:szCs w:val="22"/>
        </w:rPr>
        <w:t xml:space="preserve">    </w:t>
      </w:r>
    </w:p>
    <w:p w14:paraId="0BFB2D11" w14:textId="77777777" w:rsidR="00EA16E0" w:rsidRDefault="00EA16E0" w:rsidP="00EA16E0">
      <w:pPr>
        <w:rPr>
          <w:b/>
          <w:sz w:val="20"/>
        </w:rPr>
      </w:pPr>
    </w:p>
    <w:p w14:paraId="3DFCA564" w14:textId="77777777" w:rsidR="00902D4A" w:rsidRPr="00633598" w:rsidRDefault="00E75166" w:rsidP="00BB0040">
      <w:pPr>
        <w:pStyle w:val="Heading1"/>
      </w:pPr>
      <w:bookmarkStart w:id="12" w:name="_Toc132295459"/>
      <w:r>
        <w:t>2 BOD EX-OFFICIO MEMBER</w:t>
      </w:r>
      <w:bookmarkEnd w:id="12"/>
    </w:p>
    <w:p w14:paraId="2061BA5B" w14:textId="77777777" w:rsidR="00902D4A" w:rsidRPr="00745E61" w:rsidRDefault="00902D4A">
      <w:pPr>
        <w:jc w:val="both"/>
        <w:rPr>
          <w:sz w:val="22"/>
          <w:szCs w:val="22"/>
        </w:rPr>
      </w:pPr>
      <w:r w:rsidRPr="00745E61">
        <w:rPr>
          <w:sz w:val="22"/>
          <w:szCs w:val="22"/>
        </w:rPr>
        <w:t>The BOD Ex-Officio (</w:t>
      </w:r>
      <w:proofErr w:type="spellStart"/>
      <w:r w:rsidRPr="00745E61">
        <w:rPr>
          <w:sz w:val="22"/>
          <w:szCs w:val="22"/>
        </w:rPr>
        <w:t>ExO</w:t>
      </w:r>
      <w:proofErr w:type="spellEnd"/>
      <w:r w:rsidRPr="00745E61">
        <w:rPr>
          <w:sz w:val="22"/>
          <w:szCs w:val="22"/>
        </w:rPr>
        <w:t xml:space="preserve">) member of the </w:t>
      </w:r>
      <w:proofErr w:type="spellStart"/>
      <w:r w:rsidR="003F2BC1" w:rsidRPr="00745E61">
        <w:rPr>
          <w:sz w:val="22"/>
          <w:szCs w:val="22"/>
        </w:rPr>
        <w:t>StdC</w:t>
      </w:r>
      <w:proofErr w:type="spellEnd"/>
      <w:r w:rsidRPr="00745E61">
        <w:rPr>
          <w:sz w:val="22"/>
          <w:szCs w:val="22"/>
        </w:rPr>
        <w:t xml:space="preserve"> shall be a Director-at-Large assigned by the President</w:t>
      </w:r>
      <w:r w:rsidR="00E75166">
        <w:rPr>
          <w:sz w:val="22"/>
          <w:szCs w:val="22"/>
        </w:rPr>
        <w:t xml:space="preserve"> and shall serve in an advisory capacity and provide liaison with the BOD, Technology Council and other committees</w:t>
      </w:r>
      <w:r w:rsidRPr="00745E61">
        <w:rPr>
          <w:sz w:val="22"/>
          <w:szCs w:val="22"/>
        </w:rPr>
        <w:t>.</w:t>
      </w:r>
      <w:r w:rsidR="00E75166">
        <w:rPr>
          <w:sz w:val="22"/>
          <w:szCs w:val="22"/>
        </w:rPr>
        <w:t xml:space="preserve"> (See </w:t>
      </w:r>
      <w:proofErr w:type="spellStart"/>
      <w:r w:rsidR="00E75166">
        <w:rPr>
          <w:sz w:val="22"/>
          <w:szCs w:val="22"/>
        </w:rPr>
        <w:t>StdC</w:t>
      </w:r>
      <w:proofErr w:type="spellEnd"/>
      <w:r w:rsidR="00E75166">
        <w:rPr>
          <w:sz w:val="22"/>
          <w:szCs w:val="22"/>
        </w:rPr>
        <w:t xml:space="preserve"> Reference Manual</w:t>
      </w:r>
      <w:r w:rsidR="003E0DC0">
        <w:rPr>
          <w:sz w:val="22"/>
          <w:szCs w:val="22"/>
        </w:rPr>
        <w:t xml:space="preserve"> </w:t>
      </w:r>
      <w:r w:rsidR="009543BD">
        <w:rPr>
          <w:sz w:val="22"/>
          <w:szCs w:val="22"/>
        </w:rPr>
        <w:t xml:space="preserve">Section </w:t>
      </w:r>
      <w:r w:rsidR="006633A0">
        <w:rPr>
          <w:sz w:val="22"/>
          <w:szCs w:val="22"/>
        </w:rPr>
        <w:t>2</w:t>
      </w:r>
      <w:r w:rsidR="00E75166">
        <w:rPr>
          <w:sz w:val="22"/>
          <w:szCs w:val="22"/>
        </w:rPr>
        <w:t>)</w:t>
      </w:r>
      <w:r w:rsidR="007006CB">
        <w:rPr>
          <w:sz w:val="22"/>
          <w:szCs w:val="22"/>
        </w:rPr>
        <w:t>.</w:t>
      </w:r>
    </w:p>
    <w:p w14:paraId="60370468" w14:textId="77777777" w:rsidR="00902D4A" w:rsidRPr="00745E61" w:rsidRDefault="00902D4A">
      <w:pPr>
        <w:jc w:val="both"/>
        <w:rPr>
          <w:sz w:val="22"/>
          <w:szCs w:val="22"/>
        </w:rPr>
      </w:pPr>
    </w:p>
    <w:p w14:paraId="39B0F155" w14:textId="77777777" w:rsidR="00902D4A" w:rsidRPr="00AE788E" w:rsidRDefault="00902D4A" w:rsidP="00BB0040">
      <w:pPr>
        <w:pStyle w:val="Heading1"/>
      </w:pPr>
      <w:bookmarkStart w:id="13" w:name="_Toc456168887"/>
      <w:bookmarkStart w:id="14" w:name="_Toc456171074"/>
      <w:bookmarkStart w:id="15" w:name="_Toc132295460"/>
      <w:r w:rsidRPr="00AE788E">
        <w:t xml:space="preserve">3 </w:t>
      </w:r>
      <w:r w:rsidRPr="00BB0040">
        <w:t>C</w:t>
      </w:r>
      <w:r w:rsidR="0053138C" w:rsidRPr="00BB0040">
        <w:t>oordinating</w:t>
      </w:r>
      <w:r w:rsidR="0053138C" w:rsidRPr="00AE788E">
        <w:t xml:space="preserve"> Offi</w:t>
      </w:r>
      <w:bookmarkEnd w:id="13"/>
      <w:bookmarkEnd w:id="14"/>
      <w:r w:rsidR="0053138C" w:rsidRPr="00AE788E">
        <w:t>cer</w:t>
      </w:r>
      <w:bookmarkEnd w:id="15"/>
    </w:p>
    <w:p w14:paraId="542724C4" w14:textId="77777777" w:rsidR="00902D4A" w:rsidRPr="00745E61" w:rsidRDefault="00902D4A">
      <w:pPr>
        <w:jc w:val="both"/>
        <w:outlineLvl w:val="0"/>
        <w:rPr>
          <w:sz w:val="22"/>
          <w:szCs w:val="22"/>
        </w:rPr>
      </w:pPr>
      <w:r w:rsidRPr="00745E61">
        <w:rPr>
          <w:sz w:val="22"/>
          <w:szCs w:val="22"/>
        </w:rPr>
        <w:t xml:space="preserve">The Coordinating Officer (CO) of the </w:t>
      </w:r>
      <w:proofErr w:type="spellStart"/>
      <w:r w:rsidR="003F2BC1" w:rsidRPr="00745E61">
        <w:rPr>
          <w:sz w:val="22"/>
          <w:szCs w:val="22"/>
        </w:rPr>
        <w:t>StdC</w:t>
      </w:r>
      <w:proofErr w:type="spellEnd"/>
      <w:r w:rsidRPr="00745E61">
        <w:rPr>
          <w:sz w:val="22"/>
          <w:szCs w:val="22"/>
        </w:rPr>
        <w:t xml:space="preserve"> shall be the Chair of Technology Council</w:t>
      </w:r>
      <w:r w:rsidR="0061476A">
        <w:rPr>
          <w:sz w:val="22"/>
          <w:szCs w:val="22"/>
        </w:rPr>
        <w:t xml:space="preserve"> and shall serve in an advisory capacity and link to the President, BOD and BOD Exec committee</w:t>
      </w:r>
      <w:r w:rsidRPr="00745E61">
        <w:rPr>
          <w:sz w:val="22"/>
          <w:szCs w:val="22"/>
        </w:rPr>
        <w:t>.</w:t>
      </w:r>
      <w:r w:rsidR="0061476A">
        <w:rPr>
          <w:sz w:val="22"/>
          <w:szCs w:val="22"/>
        </w:rPr>
        <w:t xml:space="preserve"> (See </w:t>
      </w:r>
      <w:proofErr w:type="spellStart"/>
      <w:r w:rsidR="0061476A">
        <w:rPr>
          <w:sz w:val="22"/>
          <w:szCs w:val="22"/>
        </w:rPr>
        <w:t>StdC</w:t>
      </w:r>
      <w:proofErr w:type="spellEnd"/>
      <w:r w:rsidR="0061476A">
        <w:rPr>
          <w:sz w:val="22"/>
          <w:szCs w:val="22"/>
        </w:rPr>
        <w:t xml:space="preserve"> Reference Manual</w:t>
      </w:r>
      <w:r w:rsidR="00D76743">
        <w:rPr>
          <w:sz w:val="22"/>
          <w:szCs w:val="22"/>
        </w:rPr>
        <w:t xml:space="preserve"> </w:t>
      </w:r>
      <w:r w:rsidR="006633A0">
        <w:rPr>
          <w:sz w:val="22"/>
          <w:szCs w:val="22"/>
        </w:rPr>
        <w:t>3</w:t>
      </w:r>
      <w:r w:rsidR="0061476A">
        <w:rPr>
          <w:sz w:val="22"/>
          <w:szCs w:val="22"/>
        </w:rPr>
        <w:t>)</w:t>
      </w:r>
      <w:r w:rsidR="007006CB">
        <w:rPr>
          <w:sz w:val="22"/>
          <w:szCs w:val="22"/>
        </w:rPr>
        <w:t>.</w:t>
      </w:r>
    </w:p>
    <w:p w14:paraId="7CBA59B4" w14:textId="77777777" w:rsidR="00BB0040" w:rsidRDefault="00BB0040" w:rsidP="00AE788E">
      <w:pPr>
        <w:pStyle w:val="Heading1"/>
      </w:pPr>
      <w:bookmarkStart w:id="16" w:name="_Toc456168888"/>
      <w:bookmarkStart w:id="17" w:name="_Toc456171075"/>
    </w:p>
    <w:p w14:paraId="14103AD1" w14:textId="77777777" w:rsidR="00902D4A" w:rsidRPr="00745E61" w:rsidRDefault="00902D4A" w:rsidP="00AE788E">
      <w:pPr>
        <w:pStyle w:val="Heading1"/>
      </w:pPr>
      <w:bookmarkStart w:id="18" w:name="_Toc132295461"/>
      <w:r w:rsidRPr="00745E61">
        <w:t xml:space="preserve">4 </w:t>
      </w:r>
      <w:r w:rsidR="0053138C" w:rsidRPr="00745E61">
        <w:t>Standards Committee Chair and Vice Chair</w:t>
      </w:r>
      <w:bookmarkEnd w:id="16"/>
      <w:bookmarkEnd w:id="17"/>
      <w:bookmarkEnd w:id="18"/>
    </w:p>
    <w:p w14:paraId="4DAD111B" w14:textId="77777777" w:rsidR="00902D4A" w:rsidRPr="00745E61" w:rsidRDefault="00902D4A">
      <w:pPr>
        <w:jc w:val="both"/>
        <w:rPr>
          <w:b/>
          <w:sz w:val="22"/>
          <w:szCs w:val="22"/>
        </w:rPr>
      </w:pPr>
    </w:p>
    <w:p w14:paraId="037626F5" w14:textId="77777777" w:rsidR="00902D4A" w:rsidRPr="00745E61" w:rsidRDefault="007006CB" w:rsidP="00CB2107">
      <w:pPr>
        <w:pStyle w:val="StyleHeading2TimesNewRomanJustified"/>
        <w:rPr>
          <w:rFonts w:ascii="Times New Roman Bold" w:hAnsi="Times New Roman Bold"/>
          <w:caps/>
          <w:sz w:val="22"/>
          <w:szCs w:val="22"/>
        </w:rPr>
      </w:pPr>
      <w:bookmarkStart w:id="19" w:name="_Toc132295462"/>
      <w:r>
        <w:rPr>
          <w:rFonts w:ascii="Times New Roman Bold" w:hAnsi="Times New Roman Bold"/>
          <w:caps/>
          <w:sz w:val="22"/>
          <w:szCs w:val="22"/>
        </w:rPr>
        <w:t>4.1</w:t>
      </w:r>
      <w:r w:rsidR="00902D4A" w:rsidRPr="00745E61">
        <w:rPr>
          <w:rFonts w:ascii="Times New Roman Bold" w:hAnsi="Times New Roman Bold"/>
          <w:caps/>
          <w:sz w:val="22"/>
          <w:szCs w:val="22"/>
        </w:rPr>
        <w:t xml:space="preserve"> Responsibilities/Duties of Chair</w:t>
      </w:r>
      <w:bookmarkEnd w:id="19"/>
    </w:p>
    <w:p w14:paraId="66C138ED" w14:textId="77777777" w:rsidR="00D2723C" w:rsidRDefault="00902D4A" w:rsidP="00E31103">
      <w:pPr>
        <w:rPr>
          <w:sz w:val="22"/>
          <w:szCs w:val="22"/>
        </w:rPr>
      </w:pPr>
      <w:r w:rsidRPr="00745E61">
        <w:rPr>
          <w:sz w:val="22"/>
          <w:szCs w:val="22"/>
        </w:rPr>
        <w:t xml:space="preserve">The </w:t>
      </w:r>
      <w:proofErr w:type="spellStart"/>
      <w:r w:rsidRPr="00745E61">
        <w:rPr>
          <w:sz w:val="22"/>
          <w:szCs w:val="22"/>
        </w:rPr>
        <w:t>StdC</w:t>
      </w:r>
      <w:proofErr w:type="spellEnd"/>
      <w:r w:rsidRPr="00745E61">
        <w:rPr>
          <w:sz w:val="22"/>
          <w:szCs w:val="22"/>
        </w:rPr>
        <w:t xml:space="preserve"> Chair’s </w:t>
      </w:r>
      <w:r w:rsidR="008832C5">
        <w:rPr>
          <w:sz w:val="22"/>
          <w:szCs w:val="22"/>
        </w:rPr>
        <w:t>is responsible for the organization and functioning of Standards Committee and shall preside over meetings, prepare meeting materials and minutes,</w:t>
      </w:r>
      <w:r w:rsidR="0006532A">
        <w:rPr>
          <w:sz w:val="22"/>
          <w:szCs w:val="22"/>
        </w:rPr>
        <w:t xml:space="preserve"> </w:t>
      </w:r>
      <w:r w:rsidR="008832C5">
        <w:rPr>
          <w:sz w:val="22"/>
          <w:szCs w:val="22"/>
        </w:rPr>
        <w:t>and appoint members to standing committees and ad</w:t>
      </w:r>
      <w:r w:rsidR="002A2473">
        <w:rPr>
          <w:sz w:val="22"/>
          <w:szCs w:val="22"/>
        </w:rPr>
        <w:t xml:space="preserve"> </w:t>
      </w:r>
      <w:r w:rsidR="008832C5">
        <w:rPr>
          <w:sz w:val="22"/>
          <w:szCs w:val="22"/>
        </w:rPr>
        <w:t>hoc committees</w:t>
      </w:r>
      <w:r w:rsidR="00551EC4">
        <w:rPr>
          <w:sz w:val="22"/>
          <w:szCs w:val="22"/>
        </w:rPr>
        <w:t xml:space="preserve"> with the assistance of the MOS and Committee members.</w:t>
      </w:r>
      <w:r w:rsidR="008832C5">
        <w:rPr>
          <w:sz w:val="22"/>
          <w:szCs w:val="22"/>
        </w:rPr>
        <w:t xml:space="preserve">  </w:t>
      </w:r>
      <w:r w:rsidR="00931D46">
        <w:rPr>
          <w:sz w:val="22"/>
          <w:szCs w:val="22"/>
        </w:rPr>
        <w:t>(</w:t>
      </w:r>
      <w:r w:rsidR="009F342A">
        <w:rPr>
          <w:sz w:val="22"/>
          <w:szCs w:val="22"/>
        </w:rPr>
        <w:t>See</w:t>
      </w:r>
      <w:r w:rsidR="00931D46">
        <w:rPr>
          <w:sz w:val="22"/>
          <w:szCs w:val="22"/>
        </w:rPr>
        <w:t xml:space="preserve"> </w:t>
      </w:r>
      <w:proofErr w:type="spellStart"/>
      <w:r w:rsidR="00931D46">
        <w:rPr>
          <w:sz w:val="22"/>
          <w:szCs w:val="22"/>
        </w:rPr>
        <w:t>StdC</w:t>
      </w:r>
      <w:proofErr w:type="spellEnd"/>
      <w:r w:rsidR="009F342A">
        <w:rPr>
          <w:sz w:val="22"/>
          <w:szCs w:val="22"/>
        </w:rPr>
        <w:t xml:space="preserve"> Reference Manual </w:t>
      </w:r>
      <w:r w:rsidR="009543BD">
        <w:rPr>
          <w:sz w:val="22"/>
          <w:szCs w:val="22"/>
        </w:rPr>
        <w:t xml:space="preserve">Section </w:t>
      </w:r>
      <w:r w:rsidR="006633A0">
        <w:rPr>
          <w:sz w:val="22"/>
          <w:szCs w:val="22"/>
        </w:rPr>
        <w:t>4</w:t>
      </w:r>
      <w:r w:rsidR="00931D46">
        <w:rPr>
          <w:sz w:val="22"/>
          <w:szCs w:val="22"/>
        </w:rPr>
        <w:t>)</w:t>
      </w:r>
      <w:r w:rsidR="009F342A">
        <w:rPr>
          <w:sz w:val="22"/>
          <w:szCs w:val="22"/>
        </w:rPr>
        <w:t xml:space="preserve">. </w:t>
      </w:r>
    </w:p>
    <w:p w14:paraId="1DB1D795" w14:textId="77777777" w:rsidR="00E3378B" w:rsidRPr="00745E61" w:rsidRDefault="00E3378B">
      <w:pPr>
        <w:jc w:val="both"/>
        <w:rPr>
          <w:sz w:val="22"/>
          <w:szCs w:val="22"/>
        </w:rPr>
      </w:pPr>
    </w:p>
    <w:p w14:paraId="4AA82FCB" w14:textId="77777777" w:rsidR="00902D4A" w:rsidRPr="00745E61" w:rsidRDefault="00902D4A" w:rsidP="00CB2107">
      <w:pPr>
        <w:pStyle w:val="StyleHeading2TimesNewRomanJustified"/>
        <w:rPr>
          <w:rFonts w:ascii="Times New Roman Bold" w:hAnsi="Times New Roman Bold"/>
          <w:caps/>
          <w:sz w:val="22"/>
          <w:szCs w:val="22"/>
        </w:rPr>
      </w:pPr>
      <w:bookmarkStart w:id="20" w:name="_Toc132295463"/>
      <w:r w:rsidRPr="00745E61">
        <w:rPr>
          <w:rFonts w:ascii="Times New Roman Bold" w:hAnsi="Times New Roman Bold"/>
          <w:caps/>
          <w:sz w:val="22"/>
          <w:szCs w:val="22"/>
        </w:rPr>
        <w:t>4.</w:t>
      </w:r>
      <w:r w:rsidR="00467FE8">
        <w:rPr>
          <w:rFonts w:ascii="Times New Roman Bold" w:hAnsi="Times New Roman Bold"/>
          <w:caps/>
          <w:sz w:val="22"/>
          <w:szCs w:val="22"/>
        </w:rPr>
        <w:t>2</w:t>
      </w:r>
      <w:r w:rsidRPr="00745E61">
        <w:rPr>
          <w:rFonts w:ascii="Times New Roman Bold" w:hAnsi="Times New Roman Bold"/>
          <w:caps/>
          <w:sz w:val="22"/>
          <w:szCs w:val="22"/>
        </w:rPr>
        <w:t xml:space="preserve"> Responsibilities/Duties of Vice Chair</w:t>
      </w:r>
      <w:bookmarkEnd w:id="20"/>
    </w:p>
    <w:p w14:paraId="313E4F38" w14:textId="77777777" w:rsidR="009F342A" w:rsidRPr="00745E61" w:rsidRDefault="00902D4A" w:rsidP="00E31103">
      <w:pPr>
        <w:rPr>
          <w:sz w:val="22"/>
          <w:szCs w:val="22"/>
        </w:rPr>
      </w:pPr>
      <w:r w:rsidRPr="00745E61">
        <w:rPr>
          <w:sz w:val="22"/>
          <w:szCs w:val="22"/>
        </w:rPr>
        <w:t>In the absence of the Chair, the Vice Chair shall assume the chair at any scheduled or called meeting of the Committee.</w:t>
      </w:r>
      <w:r w:rsidR="00551EC4">
        <w:rPr>
          <w:sz w:val="22"/>
          <w:szCs w:val="22"/>
        </w:rPr>
        <w:t xml:space="preserve">  </w:t>
      </w:r>
      <w:r w:rsidR="00551EC4" w:rsidRPr="00745E61">
        <w:rPr>
          <w:sz w:val="22"/>
          <w:szCs w:val="22"/>
        </w:rPr>
        <w:t xml:space="preserve">In the event the Chair is unable to perform the Chair’s duties, the Vice Chair shall </w:t>
      </w:r>
      <w:r w:rsidR="00551EC4" w:rsidRPr="00745E61">
        <w:rPr>
          <w:sz w:val="22"/>
          <w:szCs w:val="22"/>
        </w:rPr>
        <w:lastRenderedPageBreak/>
        <w:t>assume all duties of the Chair until a successor is selected.</w:t>
      </w:r>
      <w:r w:rsidR="009F342A" w:rsidRPr="009F342A">
        <w:rPr>
          <w:sz w:val="22"/>
          <w:szCs w:val="22"/>
        </w:rPr>
        <w:t xml:space="preserve"> </w:t>
      </w:r>
      <w:r w:rsidR="009F342A" w:rsidRPr="00745E61">
        <w:rPr>
          <w:sz w:val="22"/>
          <w:szCs w:val="22"/>
        </w:rPr>
        <w:t>The Vice Chair shall perform other duties, which may be assigned by the Chair.</w:t>
      </w:r>
    </w:p>
    <w:p w14:paraId="3E71F455" w14:textId="77777777" w:rsidR="006A7958" w:rsidRPr="00745E61" w:rsidRDefault="006A7958" w:rsidP="00CB2107">
      <w:pPr>
        <w:rPr>
          <w:b/>
          <w:sz w:val="22"/>
          <w:szCs w:val="22"/>
        </w:rPr>
      </w:pPr>
    </w:p>
    <w:p w14:paraId="34B72451" w14:textId="77777777" w:rsidR="00902D4A" w:rsidRPr="00AE788E" w:rsidRDefault="00902D4A" w:rsidP="00AE788E">
      <w:pPr>
        <w:pStyle w:val="StyleStyleHeading112pt14pt"/>
        <w:rPr>
          <w:sz w:val="22"/>
          <w:szCs w:val="22"/>
        </w:rPr>
      </w:pPr>
      <w:bookmarkStart w:id="21" w:name="_Toc456168889"/>
      <w:bookmarkStart w:id="22" w:name="_Toc456171076"/>
      <w:bookmarkStart w:id="23" w:name="_Toc132295464"/>
      <w:r w:rsidRPr="00AE788E">
        <w:rPr>
          <w:sz w:val="22"/>
          <w:szCs w:val="22"/>
        </w:rPr>
        <w:t xml:space="preserve">5 </w:t>
      </w:r>
      <w:bookmarkEnd w:id="21"/>
      <w:bookmarkEnd w:id="22"/>
      <w:r w:rsidR="0053138C" w:rsidRPr="00AE788E">
        <w:rPr>
          <w:sz w:val="22"/>
          <w:szCs w:val="22"/>
        </w:rPr>
        <w:t>Staff Liaison</w:t>
      </w:r>
      <w:bookmarkEnd w:id="23"/>
    </w:p>
    <w:p w14:paraId="70F8FD2E" w14:textId="77777777" w:rsidR="00902D4A" w:rsidRPr="00633598" w:rsidRDefault="00902D4A">
      <w:pPr>
        <w:jc w:val="both"/>
        <w:rPr>
          <w:b/>
          <w:sz w:val="20"/>
        </w:rPr>
      </w:pPr>
    </w:p>
    <w:p w14:paraId="1B15D209" w14:textId="77777777" w:rsidR="00902D4A" w:rsidRPr="00745E61" w:rsidRDefault="00902D4A" w:rsidP="00CB2107">
      <w:pPr>
        <w:pStyle w:val="StyleHeading2TimesNewRomanJustified"/>
        <w:rPr>
          <w:rFonts w:ascii="Times New Roman Bold" w:hAnsi="Times New Roman Bold"/>
          <w:caps/>
          <w:sz w:val="22"/>
          <w:szCs w:val="22"/>
        </w:rPr>
      </w:pPr>
      <w:bookmarkStart w:id="24" w:name="_Toc132295465"/>
      <w:r w:rsidRPr="00745E61">
        <w:rPr>
          <w:rFonts w:ascii="Times New Roman Bold" w:hAnsi="Times New Roman Bold"/>
          <w:caps/>
          <w:sz w:val="22"/>
          <w:szCs w:val="22"/>
        </w:rPr>
        <w:t xml:space="preserve">5.1 </w:t>
      </w:r>
      <w:r w:rsidR="00B84B47">
        <w:rPr>
          <w:rFonts w:ascii="Times New Roman Bold" w:hAnsi="Times New Roman Bold"/>
          <w:caps/>
          <w:sz w:val="22"/>
          <w:szCs w:val="22"/>
        </w:rPr>
        <w:t>LIAISON</w:t>
      </w:r>
      <w:bookmarkEnd w:id="24"/>
    </w:p>
    <w:p w14:paraId="2F2774B8" w14:textId="77777777" w:rsidR="00902D4A" w:rsidRPr="00745E61" w:rsidRDefault="00902D4A">
      <w:pPr>
        <w:jc w:val="both"/>
        <w:outlineLvl w:val="0"/>
        <w:rPr>
          <w:sz w:val="22"/>
          <w:szCs w:val="22"/>
        </w:rPr>
      </w:pPr>
      <w:r w:rsidRPr="00745E61">
        <w:rPr>
          <w:sz w:val="22"/>
          <w:szCs w:val="22"/>
        </w:rPr>
        <w:t xml:space="preserve">The </w:t>
      </w:r>
      <w:r w:rsidR="003F2BC1" w:rsidRPr="00745E61">
        <w:rPr>
          <w:sz w:val="22"/>
          <w:szCs w:val="22"/>
        </w:rPr>
        <w:t>MOS</w:t>
      </w:r>
      <w:r w:rsidRPr="00745E61">
        <w:rPr>
          <w:sz w:val="22"/>
          <w:szCs w:val="22"/>
        </w:rPr>
        <w:t xml:space="preserve"> shall serve as staff liaison to the </w:t>
      </w:r>
      <w:proofErr w:type="spellStart"/>
      <w:r w:rsidR="003F2BC1" w:rsidRPr="00745E61">
        <w:rPr>
          <w:sz w:val="22"/>
          <w:szCs w:val="22"/>
        </w:rPr>
        <w:t>StdC</w:t>
      </w:r>
      <w:proofErr w:type="spellEnd"/>
      <w:r w:rsidRPr="00745E61">
        <w:rPr>
          <w:sz w:val="22"/>
          <w:szCs w:val="22"/>
        </w:rPr>
        <w:t>.</w:t>
      </w:r>
      <w:r w:rsidR="004B1F8E">
        <w:rPr>
          <w:sz w:val="22"/>
          <w:szCs w:val="22"/>
        </w:rPr>
        <w:t xml:space="preserve"> (See Reference </w:t>
      </w:r>
      <w:r w:rsidR="009543BD">
        <w:rPr>
          <w:sz w:val="22"/>
          <w:szCs w:val="22"/>
        </w:rPr>
        <w:t>M</w:t>
      </w:r>
      <w:r w:rsidR="004B1F8E">
        <w:rPr>
          <w:sz w:val="22"/>
          <w:szCs w:val="22"/>
        </w:rPr>
        <w:t xml:space="preserve">anual </w:t>
      </w:r>
      <w:r w:rsidR="009543BD">
        <w:rPr>
          <w:sz w:val="22"/>
          <w:szCs w:val="22"/>
        </w:rPr>
        <w:t xml:space="preserve">Section </w:t>
      </w:r>
      <w:r w:rsidR="006633A0">
        <w:rPr>
          <w:sz w:val="22"/>
          <w:szCs w:val="22"/>
        </w:rPr>
        <w:t>5</w:t>
      </w:r>
      <w:r w:rsidR="004B1F8E">
        <w:rPr>
          <w:sz w:val="22"/>
          <w:szCs w:val="22"/>
        </w:rPr>
        <w:t>)</w:t>
      </w:r>
      <w:r w:rsidR="006633A0">
        <w:rPr>
          <w:sz w:val="22"/>
          <w:szCs w:val="22"/>
        </w:rPr>
        <w:t>.</w:t>
      </w:r>
    </w:p>
    <w:p w14:paraId="17B57B55" w14:textId="77777777" w:rsidR="00902D4A" w:rsidRPr="00745E61" w:rsidRDefault="00902D4A">
      <w:pPr>
        <w:jc w:val="both"/>
        <w:rPr>
          <w:sz w:val="22"/>
          <w:szCs w:val="22"/>
        </w:rPr>
      </w:pPr>
    </w:p>
    <w:p w14:paraId="2849201B" w14:textId="77777777" w:rsidR="00902D4A" w:rsidRPr="00AE788E" w:rsidRDefault="0041307F" w:rsidP="00AE788E">
      <w:pPr>
        <w:pStyle w:val="StyleStyleHeading112pt14pt"/>
        <w:rPr>
          <w:sz w:val="22"/>
          <w:szCs w:val="22"/>
        </w:rPr>
      </w:pPr>
      <w:bookmarkStart w:id="25" w:name="p7"/>
      <w:bookmarkStart w:id="26" w:name="_Toc456168890"/>
      <w:bookmarkStart w:id="27" w:name="_Toc456171077"/>
      <w:bookmarkStart w:id="28" w:name="_Toc520794677"/>
      <w:bookmarkStart w:id="29" w:name="_Toc132295466"/>
      <w:bookmarkEnd w:id="25"/>
      <w:r>
        <w:rPr>
          <w:sz w:val="22"/>
          <w:szCs w:val="22"/>
        </w:rPr>
        <w:t>6</w:t>
      </w:r>
      <w:r w:rsidRPr="00AE788E">
        <w:rPr>
          <w:sz w:val="22"/>
          <w:szCs w:val="22"/>
        </w:rPr>
        <w:t xml:space="preserve"> </w:t>
      </w:r>
      <w:r w:rsidR="00902D4A" w:rsidRPr="00AE788E">
        <w:rPr>
          <w:sz w:val="22"/>
          <w:szCs w:val="22"/>
        </w:rPr>
        <w:t>S</w:t>
      </w:r>
      <w:bookmarkEnd w:id="26"/>
      <w:bookmarkEnd w:id="27"/>
      <w:bookmarkEnd w:id="28"/>
      <w:r w:rsidR="00EA3E59" w:rsidRPr="00AE788E">
        <w:rPr>
          <w:sz w:val="22"/>
          <w:szCs w:val="22"/>
        </w:rPr>
        <w:t>ubcommittees</w:t>
      </w:r>
      <w:bookmarkEnd w:id="29"/>
    </w:p>
    <w:p w14:paraId="18617671" w14:textId="77777777" w:rsidR="00902D4A" w:rsidRPr="00745E61" w:rsidRDefault="00902D4A">
      <w:pPr>
        <w:jc w:val="both"/>
        <w:rPr>
          <w:b/>
          <w:sz w:val="22"/>
          <w:szCs w:val="22"/>
        </w:rPr>
      </w:pPr>
    </w:p>
    <w:p w14:paraId="6E097D3A" w14:textId="77777777" w:rsidR="00902D4A" w:rsidRPr="00745E61" w:rsidRDefault="0041307F" w:rsidP="00CB2107">
      <w:pPr>
        <w:pStyle w:val="StyleHeading2TimesNewRomanJustified"/>
        <w:rPr>
          <w:rFonts w:ascii="Times New Roman Bold" w:hAnsi="Times New Roman Bold"/>
          <w:caps/>
          <w:sz w:val="22"/>
          <w:szCs w:val="22"/>
        </w:rPr>
      </w:pPr>
      <w:bookmarkStart w:id="30" w:name="_Toc132295467"/>
      <w:r>
        <w:rPr>
          <w:rFonts w:ascii="Times New Roman Bold" w:hAnsi="Times New Roman Bold"/>
          <w:caps/>
          <w:sz w:val="22"/>
          <w:szCs w:val="22"/>
        </w:rPr>
        <w:t>6</w:t>
      </w:r>
      <w:r w:rsidR="00902D4A" w:rsidRPr="00745E61">
        <w:rPr>
          <w:rFonts w:ascii="Times New Roman Bold" w:hAnsi="Times New Roman Bold"/>
          <w:caps/>
          <w:sz w:val="22"/>
          <w:szCs w:val="22"/>
        </w:rPr>
        <w:t>.1 Executive Committee</w:t>
      </w:r>
      <w:bookmarkEnd w:id="30"/>
    </w:p>
    <w:p w14:paraId="7D161267" w14:textId="77777777" w:rsidR="00A92F53" w:rsidRPr="00A93495" w:rsidRDefault="00902D4A" w:rsidP="00D76743">
      <w:pPr>
        <w:tabs>
          <w:tab w:val="left" w:pos="360"/>
        </w:tabs>
        <w:rPr>
          <w:sz w:val="22"/>
          <w:szCs w:val="22"/>
        </w:rPr>
      </w:pPr>
      <w:r w:rsidRPr="00745E61">
        <w:rPr>
          <w:sz w:val="22"/>
          <w:szCs w:val="22"/>
        </w:rPr>
        <w:t xml:space="preserve">The </w:t>
      </w:r>
      <w:r w:rsidR="00EE103E">
        <w:rPr>
          <w:sz w:val="22"/>
          <w:szCs w:val="22"/>
        </w:rPr>
        <w:t xml:space="preserve">Executive Committee shall be comprised of the </w:t>
      </w:r>
      <w:r w:rsidRPr="00745E61">
        <w:rPr>
          <w:sz w:val="22"/>
          <w:szCs w:val="22"/>
        </w:rPr>
        <w:t xml:space="preserve">Chair, Vice-Chair and the </w:t>
      </w:r>
      <w:r w:rsidR="00EE103E">
        <w:rPr>
          <w:sz w:val="22"/>
          <w:szCs w:val="22"/>
        </w:rPr>
        <w:t xml:space="preserve">Subcommittee </w:t>
      </w:r>
      <w:r w:rsidRPr="00745E61">
        <w:rPr>
          <w:sz w:val="22"/>
          <w:szCs w:val="22"/>
        </w:rPr>
        <w:t xml:space="preserve">Chairs.  The Executive Committee </w:t>
      </w:r>
      <w:r w:rsidR="00EE103E">
        <w:rPr>
          <w:sz w:val="22"/>
          <w:szCs w:val="22"/>
        </w:rPr>
        <w:t xml:space="preserve">shall </w:t>
      </w:r>
      <w:r w:rsidRPr="00745E61">
        <w:rPr>
          <w:sz w:val="22"/>
          <w:szCs w:val="22"/>
        </w:rPr>
        <w:t xml:space="preserve">meet before each </w:t>
      </w:r>
      <w:proofErr w:type="spellStart"/>
      <w:r w:rsidRPr="00745E61">
        <w:rPr>
          <w:sz w:val="22"/>
          <w:szCs w:val="22"/>
        </w:rPr>
        <w:t>StdC</w:t>
      </w:r>
      <w:proofErr w:type="spellEnd"/>
      <w:r w:rsidRPr="00745E61">
        <w:rPr>
          <w:sz w:val="22"/>
          <w:szCs w:val="22"/>
        </w:rPr>
        <w:t xml:space="preserve"> meeting and at </w:t>
      </w:r>
      <w:r w:rsidR="00EE103E">
        <w:rPr>
          <w:sz w:val="22"/>
          <w:szCs w:val="22"/>
        </w:rPr>
        <w:t>the</w:t>
      </w:r>
      <w:r w:rsidRPr="00745E61">
        <w:rPr>
          <w:sz w:val="22"/>
          <w:szCs w:val="22"/>
        </w:rPr>
        <w:t xml:space="preserve"> call of the Chair</w:t>
      </w:r>
      <w:r w:rsidRPr="00A93495">
        <w:rPr>
          <w:sz w:val="22"/>
          <w:szCs w:val="22"/>
        </w:rPr>
        <w:t xml:space="preserve">.  </w:t>
      </w:r>
      <w:r w:rsidR="00A92F53" w:rsidRPr="00A93495">
        <w:rPr>
          <w:sz w:val="22"/>
          <w:szCs w:val="22"/>
        </w:rPr>
        <w:t xml:space="preserve"> </w:t>
      </w:r>
      <w:r w:rsidR="00D76743">
        <w:rPr>
          <w:sz w:val="22"/>
          <w:szCs w:val="22"/>
        </w:rPr>
        <w:t xml:space="preserve">(See </w:t>
      </w:r>
      <w:proofErr w:type="spellStart"/>
      <w:r w:rsidR="00D76743">
        <w:rPr>
          <w:sz w:val="22"/>
          <w:szCs w:val="22"/>
        </w:rPr>
        <w:t>Std</w:t>
      </w:r>
      <w:r w:rsidR="003E0DC0">
        <w:rPr>
          <w:sz w:val="22"/>
          <w:szCs w:val="22"/>
        </w:rPr>
        <w:t>C</w:t>
      </w:r>
      <w:proofErr w:type="spellEnd"/>
      <w:r w:rsidR="003E0DC0">
        <w:rPr>
          <w:sz w:val="22"/>
          <w:szCs w:val="22"/>
        </w:rPr>
        <w:t xml:space="preserve"> Reference Manual </w:t>
      </w:r>
      <w:r w:rsidR="009543BD">
        <w:rPr>
          <w:sz w:val="22"/>
          <w:szCs w:val="22"/>
        </w:rPr>
        <w:t xml:space="preserve">Section </w:t>
      </w:r>
      <w:r w:rsidR="004B1F8E">
        <w:rPr>
          <w:sz w:val="22"/>
          <w:szCs w:val="22"/>
        </w:rPr>
        <w:t>6.1</w:t>
      </w:r>
      <w:r w:rsidR="00D76743">
        <w:rPr>
          <w:sz w:val="22"/>
          <w:szCs w:val="22"/>
        </w:rPr>
        <w:t>).</w:t>
      </w:r>
    </w:p>
    <w:p w14:paraId="52CCEED4" w14:textId="77777777" w:rsidR="00EE752D" w:rsidRDefault="00EE752D" w:rsidP="00CB2107">
      <w:pPr>
        <w:pStyle w:val="StyleHeading2TimesNewRomanJustified"/>
        <w:rPr>
          <w:rFonts w:ascii="Times New Roman Bold" w:hAnsi="Times New Roman Bold"/>
          <w:caps/>
          <w:sz w:val="22"/>
          <w:szCs w:val="22"/>
        </w:rPr>
      </w:pPr>
    </w:p>
    <w:p w14:paraId="1AF32D22" w14:textId="77777777" w:rsidR="00902D4A" w:rsidRPr="00745E61" w:rsidRDefault="0041307F" w:rsidP="00CB2107">
      <w:pPr>
        <w:pStyle w:val="StyleHeading2TimesNewRomanJustified"/>
        <w:rPr>
          <w:rFonts w:ascii="Times New Roman Bold" w:hAnsi="Times New Roman Bold"/>
          <w:caps/>
          <w:sz w:val="22"/>
          <w:szCs w:val="22"/>
        </w:rPr>
      </w:pPr>
      <w:bookmarkStart w:id="31" w:name="_Toc132295468"/>
      <w:r>
        <w:rPr>
          <w:rFonts w:ascii="Times New Roman Bold" w:hAnsi="Times New Roman Bold"/>
          <w:caps/>
          <w:sz w:val="22"/>
          <w:szCs w:val="22"/>
        </w:rPr>
        <w:t>6</w:t>
      </w:r>
      <w:r w:rsidR="00902D4A" w:rsidRPr="00745E61">
        <w:rPr>
          <w:rFonts w:ascii="Times New Roman Bold" w:hAnsi="Times New Roman Bold"/>
          <w:caps/>
          <w:sz w:val="22"/>
          <w:szCs w:val="22"/>
        </w:rPr>
        <w:t>.2 Standing Subcommittees</w:t>
      </w:r>
      <w:bookmarkEnd w:id="31"/>
    </w:p>
    <w:p w14:paraId="5C98A066" w14:textId="77777777" w:rsidR="00902D4A" w:rsidRPr="00745E61" w:rsidRDefault="00902D4A">
      <w:pPr>
        <w:pStyle w:val="BodyText"/>
        <w:jc w:val="both"/>
        <w:rPr>
          <w:rFonts w:ascii="Times New Roman" w:hAnsi="Times New Roman"/>
          <w:sz w:val="22"/>
          <w:szCs w:val="22"/>
        </w:rPr>
      </w:pPr>
      <w:r w:rsidRPr="00745E61">
        <w:rPr>
          <w:rFonts w:ascii="Times New Roman" w:hAnsi="Times New Roman"/>
          <w:sz w:val="22"/>
          <w:szCs w:val="22"/>
        </w:rPr>
        <w:t xml:space="preserve">The general duties and responsibilities of the standing subcommittees are listed below, with details provided in </w:t>
      </w:r>
      <w:r w:rsidR="00335649">
        <w:rPr>
          <w:rFonts w:ascii="Times New Roman" w:hAnsi="Times New Roman"/>
          <w:sz w:val="22"/>
          <w:szCs w:val="22"/>
        </w:rPr>
        <w:t>the Standards Committ</w:t>
      </w:r>
      <w:r w:rsidR="00335649" w:rsidRPr="00F17F01">
        <w:rPr>
          <w:rFonts w:ascii="Times New Roman" w:hAnsi="Times New Roman"/>
          <w:sz w:val="22"/>
          <w:szCs w:val="22"/>
        </w:rPr>
        <w:t>e</w:t>
      </w:r>
      <w:r w:rsidR="00335649">
        <w:rPr>
          <w:rFonts w:ascii="Times New Roman" w:hAnsi="Times New Roman"/>
          <w:sz w:val="22"/>
          <w:szCs w:val="22"/>
        </w:rPr>
        <w:t>e Reference Manual</w:t>
      </w:r>
      <w:r w:rsidR="003E0DC0">
        <w:rPr>
          <w:rFonts w:ascii="Times New Roman" w:hAnsi="Times New Roman"/>
          <w:sz w:val="22"/>
          <w:szCs w:val="22"/>
        </w:rPr>
        <w:t xml:space="preserve"> </w:t>
      </w:r>
      <w:r w:rsidR="009543BD">
        <w:rPr>
          <w:rFonts w:ascii="Times New Roman" w:hAnsi="Times New Roman"/>
          <w:sz w:val="22"/>
          <w:szCs w:val="22"/>
        </w:rPr>
        <w:t xml:space="preserve">Section </w:t>
      </w:r>
      <w:r w:rsidR="006633A0">
        <w:rPr>
          <w:rFonts w:ascii="Times New Roman" w:hAnsi="Times New Roman"/>
          <w:sz w:val="22"/>
          <w:szCs w:val="22"/>
        </w:rPr>
        <w:t>6</w:t>
      </w:r>
      <w:r w:rsidRPr="00745E61">
        <w:rPr>
          <w:rFonts w:ascii="Times New Roman" w:hAnsi="Times New Roman"/>
          <w:sz w:val="22"/>
          <w:szCs w:val="22"/>
        </w:rPr>
        <w:t>.</w:t>
      </w:r>
    </w:p>
    <w:p w14:paraId="664E3DA6" w14:textId="77777777" w:rsidR="00902D4A" w:rsidRPr="00745E61" w:rsidRDefault="00902D4A">
      <w:pPr>
        <w:pStyle w:val="Heading3"/>
        <w:jc w:val="left"/>
        <w:rPr>
          <w:rFonts w:ascii="Times New Roman" w:hAnsi="Times New Roman"/>
          <w:sz w:val="22"/>
          <w:szCs w:val="22"/>
        </w:rPr>
      </w:pPr>
    </w:p>
    <w:p w14:paraId="629FE5EA" w14:textId="77777777" w:rsidR="00902D4A" w:rsidRPr="00745E61" w:rsidRDefault="0041307F" w:rsidP="00CB2107">
      <w:pPr>
        <w:rPr>
          <w:b/>
          <w:sz w:val="22"/>
          <w:szCs w:val="22"/>
        </w:rPr>
      </w:pPr>
      <w:r>
        <w:rPr>
          <w:b/>
          <w:sz w:val="22"/>
          <w:szCs w:val="22"/>
        </w:rPr>
        <w:t>6</w:t>
      </w:r>
      <w:r w:rsidR="00902D4A" w:rsidRPr="00745E61">
        <w:rPr>
          <w:b/>
          <w:sz w:val="22"/>
          <w:szCs w:val="22"/>
        </w:rPr>
        <w:t>.2.1 International Standards Advisory Subcommittee (ISAS)</w:t>
      </w:r>
    </w:p>
    <w:p w14:paraId="2B442F54" w14:textId="77777777" w:rsidR="00902D4A" w:rsidRDefault="002661CC">
      <w:pPr>
        <w:pStyle w:val="BodyText"/>
        <w:jc w:val="both"/>
        <w:rPr>
          <w:rFonts w:ascii="Times New Roman" w:hAnsi="Times New Roman"/>
          <w:sz w:val="22"/>
          <w:szCs w:val="22"/>
        </w:rPr>
      </w:pPr>
      <w:bookmarkStart w:id="32" w:name="_Toc491588910"/>
      <w:r>
        <w:rPr>
          <w:rFonts w:ascii="Times New Roman" w:hAnsi="Times New Roman"/>
          <w:sz w:val="22"/>
          <w:szCs w:val="22"/>
        </w:rPr>
        <w:t>ISAS</w:t>
      </w:r>
      <w:r w:rsidR="00897D08" w:rsidRPr="00745E61">
        <w:rPr>
          <w:rFonts w:ascii="Times New Roman" w:hAnsi="Times New Roman"/>
          <w:sz w:val="22"/>
          <w:szCs w:val="22"/>
        </w:rPr>
        <w:t xml:space="preserve"> </w:t>
      </w:r>
      <w:r w:rsidR="00897D08">
        <w:rPr>
          <w:rFonts w:ascii="Times New Roman" w:hAnsi="Times New Roman"/>
          <w:sz w:val="22"/>
          <w:szCs w:val="22"/>
        </w:rPr>
        <w:t>is responsible for m</w:t>
      </w:r>
      <w:r w:rsidR="00902D4A" w:rsidRPr="00745E61">
        <w:rPr>
          <w:rFonts w:ascii="Times New Roman" w:hAnsi="Times New Roman"/>
          <w:sz w:val="22"/>
          <w:szCs w:val="22"/>
        </w:rPr>
        <w:t>onitoring, reporting and submitting recommendation</w:t>
      </w:r>
      <w:r w:rsidR="00521AE8">
        <w:rPr>
          <w:rFonts w:ascii="Times New Roman" w:hAnsi="Times New Roman"/>
          <w:sz w:val="22"/>
          <w:szCs w:val="22"/>
        </w:rPr>
        <w:t>s</w:t>
      </w:r>
      <w:r w:rsidR="00902D4A" w:rsidRPr="00745E61">
        <w:rPr>
          <w:rFonts w:ascii="Times New Roman" w:hAnsi="Times New Roman"/>
          <w:sz w:val="22"/>
          <w:szCs w:val="22"/>
        </w:rPr>
        <w:t xml:space="preserve"> to</w:t>
      </w:r>
      <w:r>
        <w:rPr>
          <w:rFonts w:ascii="Times New Roman" w:hAnsi="Times New Roman"/>
          <w:sz w:val="22"/>
          <w:szCs w:val="22"/>
        </w:rPr>
        <w:t xml:space="preserve"> the</w:t>
      </w:r>
      <w:r w:rsidR="00902D4A" w:rsidRPr="00745E61">
        <w:rPr>
          <w:rFonts w:ascii="Times New Roman" w:hAnsi="Times New Roman"/>
          <w:sz w:val="22"/>
          <w:szCs w:val="22"/>
        </w:rPr>
        <w:t xml:space="preserve"> I</w:t>
      </w:r>
      <w:r>
        <w:rPr>
          <w:rFonts w:ascii="Times New Roman" w:hAnsi="Times New Roman"/>
          <w:sz w:val="22"/>
          <w:szCs w:val="22"/>
        </w:rPr>
        <w:t xml:space="preserve">ntersociety </w:t>
      </w:r>
      <w:r w:rsidR="00902D4A" w:rsidRPr="00745E61">
        <w:rPr>
          <w:rFonts w:ascii="Times New Roman" w:hAnsi="Times New Roman"/>
          <w:sz w:val="22"/>
          <w:szCs w:val="22"/>
        </w:rPr>
        <w:t>L</w:t>
      </w:r>
      <w:r>
        <w:rPr>
          <w:rFonts w:ascii="Times New Roman" w:hAnsi="Times New Roman"/>
          <w:sz w:val="22"/>
          <w:szCs w:val="22"/>
        </w:rPr>
        <w:t xml:space="preserve">iaison </w:t>
      </w:r>
      <w:r w:rsidR="00902D4A" w:rsidRPr="00745E61">
        <w:rPr>
          <w:rFonts w:ascii="Times New Roman" w:hAnsi="Times New Roman"/>
          <w:sz w:val="22"/>
          <w:szCs w:val="22"/>
        </w:rPr>
        <w:t>S</w:t>
      </w:r>
      <w:r>
        <w:rPr>
          <w:rFonts w:ascii="Times New Roman" w:hAnsi="Times New Roman"/>
          <w:sz w:val="22"/>
          <w:szCs w:val="22"/>
        </w:rPr>
        <w:t>ubcommittee</w:t>
      </w:r>
      <w:r w:rsidR="00902D4A" w:rsidRPr="00745E61">
        <w:rPr>
          <w:rFonts w:ascii="Times New Roman" w:hAnsi="Times New Roman"/>
          <w:sz w:val="22"/>
          <w:szCs w:val="22"/>
        </w:rPr>
        <w:t xml:space="preserve"> concerning ASHRAE’s regional and international standards</w:t>
      </w:r>
      <w:bookmarkEnd w:id="32"/>
      <w:r w:rsidR="00785537" w:rsidRPr="00745E61">
        <w:rPr>
          <w:rFonts w:ascii="Times New Roman" w:hAnsi="Times New Roman"/>
          <w:sz w:val="22"/>
          <w:szCs w:val="22"/>
        </w:rPr>
        <w:t xml:space="preserve"> </w:t>
      </w:r>
      <w:bookmarkStart w:id="33" w:name="_Toc491588911"/>
      <w:r w:rsidR="00902D4A" w:rsidRPr="00745E61">
        <w:rPr>
          <w:rFonts w:ascii="Times New Roman" w:hAnsi="Times New Roman"/>
          <w:sz w:val="22"/>
          <w:szCs w:val="22"/>
        </w:rPr>
        <w:t>activities</w:t>
      </w:r>
      <w:r w:rsidR="00897D08">
        <w:rPr>
          <w:rFonts w:ascii="Times New Roman" w:hAnsi="Times New Roman"/>
          <w:sz w:val="22"/>
          <w:szCs w:val="22"/>
        </w:rPr>
        <w:t>.</w:t>
      </w:r>
      <w:r w:rsidR="00902D4A" w:rsidRPr="00745E61">
        <w:rPr>
          <w:rFonts w:ascii="Times New Roman" w:hAnsi="Times New Roman"/>
          <w:sz w:val="22"/>
          <w:szCs w:val="22"/>
        </w:rPr>
        <w:t xml:space="preserve"> </w:t>
      </w:r>
      <w:bookmarkEnd w:id="33"/>
      <w:r w:rsidR="001D2AE7">
        <w:rPr>
          <w:rFonts w:ascii="Times New Roman" w:hAnsi="Times New Roman"/>
          <w:sz w:val="22"/>
          <w:szCs w:val="22"/>
        </w:rPr>
        <w:t xml:space="preserve">(See </w:t>
      </w:r>
      <w:proofErr w:type="spellStart"/>
      <w:r w:rsidR="001D2AE7">
        <w:rPr>
          <w:rFonts w:ascii="Times New Roman" w:hAnsi="Times New Roman"/>
          <w:sz w:val="22"/>
          <w:szCs w:val="22"/>
        </w:rPr>
        <w:t>StdC</w:t>
      </w:r>
      <w:proofErr w:type="spellEnd"/>
      <w:r w:rsidR="001D2AE7">
        <w:rPr>
          <w:rFonts w:ascii="Times New Roman" w:hAnsi="Times New Roman"/>
          <w:sz w:val="22"/>
          <w:szCs w:val="22"/>
        </w:rPr>
        <w:t xml:space="preserve"> Reference Manual</w:t>
      </w:r>
      <w:r w:rsidR="006633A0">
        <w:rPr>
          <w:rFonts w:ascii="Times New Roman" w:hAnsi="Times New Roman"/>
          <w:sz w:val="22"/>
          <w:szCs w:val="22"/>
        </w:rPr>
        <w:t xml:space="preserve"> </w:t>
      </w:r>
      <w:r w:rsidR="009543BD">
        <w:rPr>
          <w:rFonts w:ascii="Times New Roman" w:hAnsi="Times New Roman"/>
          <w:sz w:val="22"/>
          <w:szCs w:val="22"/>
        </w:rPr>
        <w:t>Section</w:t>
      </w:r>
      <w:r w:rsidR="006633A0">
        <w:rPr>
          <w:rFonts w:ascii="Times New Roman" w:hAnsi="Times New Roman"/>
          <w:sz w:val="22"/>
          <w:szCs w:val="22"/>
        </w:rPr>
        <w:t xml:space="preserve"> 7</w:t>
      </w:r>
      <w:r w:rsidR="001D2AE7">
        <w:rPr>
          <w:rFonts w:ascii="Times New Roman" w:hAnsi="Times New Roman"/>
          <w:sz w:val="22"/>
          <w:szCs w:val="22"/>
        </w:rPr>
        <w:t>).</w:t>
      </w:r>
    </w:p>
    <w:p w14:paraId="71D883E0" w14:textId="77777777" w:rsidR="00BE04B9" w:rsidRDefault="00BE04B9">
      <w:pPr>
        <w:pStyle w:val="BodyText"/>
        <w:jc w:val="both"/>
        <w:rPr>
          <w:rFonts w:ascii="Times New Roman" w:hAnsi="Times New Roman"/>
          <w:sz w:val="22"/>
          <w:szCs w:val="22"/>
        </w:rPr>
      </w:pPr>
    </w:p>
    <w:p w14:paraId="1A482AD4" w14:textId="77777777" w:rsidR="00BE04B9" w:rsidRDefault="00BE04B9">
      <w:pPr>
        <w:pStyle w:val="BodyText"/>
        <w:jc w:val="both"/>
        <w:rPr>
          <w:rFonts w:ascii="Times New Roman" w:hAnsi="Times New Roman"/>
          <w:b/>
          <w:sz w:val="22"/>
          <w:szCs w:val="22"/>
        </w:rPr>
      </w:pPr>
      <w:r w:rsidRPr="00BE04B9">
        <w:rPr>
          <w:rFonts w:ascii="Times New Roman" w:hAnsi="Times New Roman"/>
          <w:b/>
          <w:sz w:val="22"/>
          <w:szCs w:val="22"/>
        </w:rPr>
        <w:t>6.2.1.1 ISAS Members</w:t>
      </w:r>
      <w:r w:rsidR="009C5C8C">
        <w:rPr>
          <w:rFonts w:ascii="Times New Roman" w:hAnsi="Times New Roman"/>
          <w:b/>
          <w:sz w:val="22"/>
          <w:szCs w:val="22"/>
        </w:rPr>
        <w:t>h</w:t>
      </w:r>
      <w:r w:rsidRPr="00BE04B9">
        <w:rPr>
          <w:rFonts w:ascii="Times New Roman" w:hAnsi="Times New Roman"/>
          <w:b/>
          <w:sz w:val="22"/>
          <w:szCs w:val="22"/>
        </w:rPr>
        <w:t>ip</w:t>
      </w:r>
    </w:p>
    <w:p w14:paraId="5D9FC3A2" w14:textId="77777777" w:rsidR="00BE04B9" w:rsidRPr="00BE04B9" w:rsidRDefault="00BE04B9" w:rsidP="00B4525C">
      <w:pPr>
        <w:pStyle w:val="BodyText"/>
        <w:rPr>
          <w:rFonts w:ascii="Times New Roman" w:hAnsi="Times New Roman"/>
          <w:sz w:val="22"/>
          <w:szCs w:val="22"/>
        </w:rPr>
      </w:pPr>
      <w:r>
        <w:rPr>
          <w:rFonts w:ascii="Times New Roman" w:hAnsi="Times New Roman"/>
          <w:sz w:val="22"/>
          <w:szCs w:val="22"/>
        </w:rPr>
        <w:t xml:space="preserve">ISAS is comprised of </w:t>
      </w:r>
      <w:proofErr w:type="spellStart"/>
      <w:r>
        <w:rPr>
          <w:rFonts w:ascii="Times New Roman" w:hAnsi="Times New Roman"/>
          <w:sz w:val="22"/>
          <w:szCs w:val="22"/>
        </w:rPr>
        <w:t>StdC</w:t>
      </w:r>
      <w:proofErr w:type="spellEnd"/>
      <w:r>
        <w:rPr>
          <w:rFonts w:ascii="Times New Roman" w:hAnsi="Times New Roman"/>
          <w:sz w:val="22"/>
          <w:szCs w:val="22"/>
        </w:rPr>
        <w:t xml:space="preserve"> and non-</w:t>
      </w:r>
      <w:proofErr w:type="spellStart"/>
      <w:r>
        <w:rPr>
          <w:rFonts w:ascii="Times New Roman" w:hAnsi="Times New Roman"/>
          <w:sz w:val="22"/>
          <w:szCs w:val="22"/>
        </w:rPr>
        <w:t>StdC</w:t>
      </w:r>
      <w:proofErr w:type="spellEnd"/>
      <w:r>
        <w:rPr>
          <w:rFonts w:ascii="Times New Roman" w:hAnsi="Times New Roman"/>
          <w:sz w:val="22"/>
          <w:szCs w:val="22"/>
        </w:rPr>
        <w:t xml:space="preserve"> members</w:t>
      </w:r>
      <w:r w:rsidR="003075E2">
        <w:rPr>
          <w:rFonts w:ascii="Times New Roman" w:hAnsi="Times New Roman"/>
          <w:sz w:val="22"/>
          <w:szCs w:val="22"/>
        </w:rPr>
        <w:t xml:space="preserve"> with knowledge of International Standards Development.</w:t>
      </w:r>
    </w:p>
    <w:p w14:paraId="5520F5AB" w14:textId="77777777" w:rsidR="00902D4A" w:rsidRPr="00745E61" w:rsidRDefault="00902D4A">
      <w:pPr>
        <w:pStyle w:val="BodyText"/>
        <w:jc w:val="both"/>
        <w:rPr>
          <w:rFonts w:ascii="Times New Roman" w:hAnsi="Times New Roman"/>
          <w:sz w:val="22"/>
          <w:szCs w:val="22"/>
        </w:rPr>
      </w:pPr>
    </w:p>
    <w:p w14:paraId="6C7D7676" w14:textId="77777777" w:rsidR="00902D4A" w:rsidRPr="00745E61" w:rsidRDefault="0041307F" w:rsidP="00CB2107">
      <w:pPr>
        <w:rPr>
          <w:b/>
          <w:sz w:val="22"/>
          <w:szCs w:val="22"/>
        </w:rPr>
      </w:pPr>
      <w:r>
        <w:rPr>
          <w:b/>
          <w:sz w:val="22"/>
          <w:szCs w:val="22"/>
        </w:rPr>
        <w:t>6</w:t>
      </w:r>
      <w:r w:rsidR="00902D4A" w:rsidRPr="00745E61">
        <w:rPr>
          <w:b/>
          <w:sz w:val="22"/>
          <w:szCs w:val="22"/>
        </w:rPr>
        <w:t>.2.2 Intersociety Liaison Subcommittee (ILS)</w:t>
      </w:r>
    </w:p>
    <w:p w14:paraId="243688CD" w14:textId="77777777" w:rsidR="00902D4A" w:rsidRPr="00745E61" w:rsidRDefault="001D2AE7" w:rsidP="001D2AE7">
      <w:pPr>
        <w:jc w:val="both"/>
        <w:rPr>
          <w:sz w:val="22"/>
          <w:szCs w:val="22"/>
        </w:rPr>
      </w:pPr>
      <w:r w:rsidRPr="00374EFD">
        <w:rPr>
          <w:sz w:val="22"/>
          <w:szCs w:val="22"/>
        </w:rPr>
        <w:t xml:space="preserve">The Intersociety Liaison Subcommittee (ILS) shall oversee the Society’s participation in the following areas: standards work of other standards writing organizations, the American National Standards Institute (ANSI), and ANSI’s Technical Advisory Groups on ISO and IEC standards. </w:t>
      </w:r>
      <w:r>
        <w:rPr>
          <w:sz w:val="22"/>
          <w:szCs w:val="22"/>
        </w:rPr>
        <w:t xml:space="preserve"> </w:t>
      </w:r>
      <w:r w:rsidR="003E0DC0">
        <w:rPr>
          <w:sz w:val="22"/>
          <w:szCs w:val="22"/>
        </w:rPr>
        <w:t xml:space="preserve">(See </w:t>
      </w:r>
      <w:proofErr w:type="spellStart"/>
      <w:r w:rsidR="003E0DC0">
        <w:rPr>
          <w:sz w:val="22"/>
          <w:szCs w:val="22"/>
        </w:rPr>
        <w:t>StdC</w:t>
      </w:r>
      <w:proofErr w:type="spellEnd"/>
      <w:r w:rsidR="003E0DC0">
        <w:rPr>
          <w:sz w:val="22"/>
          <w:szCs w:val="22"/>
        </w:rPr>
        <w:t xml:space="preserve"> Reference Manual </w:t>
      </w:r>
      <w:r w:rsidR="009543BD">
        <w:rPr>
          <w:sz w:val="22"/>
          <w:szCs w:val="22"/>
        </w:rPr>
        <w:t xml:space="preserve">Section </w:t>
      </w:r>
      <w:r w:rsidR="006633A0">
        <w:rPr>
          <w:sz w:val="22"/>
          <w:szCs w:val="22"/>
        </w:rPr>
        <w:t>8</w:t>
      </w:r>
      <w:r w:rsidR="003E0DC0">
        <w:rPr>
          <w:sz w:val="22"/>
          <w:szCs w:val="22"/>
        </w:rPr>
        <w:t>).</w:t>
      </w:r>
    </w:p>
    <w:p w14:paraId="5B2AE4BB" w14:textId="77777777" w:rsidR="00902D4A" w:rsidRDefault="00902D4A" w:rsidP="00CB2107">
      <w:pPr>
        <w:rPr>
          <w:b/>
          <w:sz w:val="22"/>
          <w:szCs w:val="22"/>
        </w:rPr>
      </w:pPr>
    </w:p>
    <w:p w14:paraId="1795C5FC" w14:textId="77777777" w:rsidR="00BE04B9" w:rsidRDefault="00BE04B9" w:rsidP="00CB2107">
      <w:pPr>
        <w:rPr>
          <w:b/>
          <w:sz w:val="22"/>
          <w:szCs w:val="22"/>
        </w:rPr>
      </w:pPr>
      <w:r>
        <w:rPr>
          <w:b/>
          <w:sz w:val="22"/>
          <w:szCs w:val="22"/>
        </w:rPr>
        <w:t>6.2.2.1 ILS Membership</w:t>
      </w:r>
    </w:p>
    <w:p w14:paraId="67D9052C" w14:textId="77777777" w:rsidR="00BE04B9" w:rsidRDefault="00BE04B9" w:rsidP="00CB2107">
      <w:pPr>
        <w:rPr>
          <w:sz w:val="22"/>
          <w:szCs w:val="22"/>
        </w:rPr>
      </w:pPr>
      <w:r>
        <w:rPr>
          <w:sz w:val="22"/>
          <w:szCs w:val="22"/>
        </w:rPr>
        <w:t xml:space="preserve">ILS is comprised of </w:t>
      </w:r>
      <w:proofErr w:type="spellStart"/>
      <w:r>
        <w:rPr>
          <w:sz w:val="22"/>
          <w:szCs w:val="22"/>
        </w:rPr>
        <w:t>StdC</w:t>
      </w:r>
      <w:proofErr w:type="spellEnd"/>
      <w:r>
        <w:rPr>
          <w:sz w:val="22"/>
          <w:szCs w:val="22"/>
        </w:rPr>
        <w:t xml:space="preserve"> members only.</w:t>
      </w:r>
    </w:p>
    <w:p w14:paraId="0BA864C5" w14:textId="77777777" w:rsidR="00BE04B9" w:rsidRPr="00BE04B9" w:rsidRDefault="00BE04B9" w:rsidP="00CB2107">
      <w:pPr>
        <w:rPr>
          <w:sz w:val="22"/>
          <w:szCs w:val="22"/>
        </w:rPr>
      </w:pPr>
    </w:p>
    <w:p w14:paraId="562E8FBD" w14:textId="77777777" w:rsidR="005B141D" w:rsidRPr="002A2473" w:rsidRDefault="005B141D" w:rsidP="005B141D">
      <w:pPr>
        <w:rPr>
          <w:b/>
          <w:bCs/>
          <w:sz w:val="22"/>
          <w:szCs w:val="22"/>
        </w:rPr>
      </w:pPr>
      <w:r w:rsidRPr="002A2473">
        <w:rPr>
          <w:b/>
          <w:sz w:val="22"/>
          <w:szCs w:val="22"/>
        </w:rPr>
        <w:t xml:space="preserve">6.2.2.2  </w:t>
      </w:r>
      <w:r w:rsidRPr="002A2473">
        <w:rPr>
          <w:b/>
          <w:bCs/>
          <w:sz w:val="22"/>
          <w:szCs w:val="22"/>
        </w:rPr>
        <w:t>Identical Adoption of ASHRAE Standards or Guidelines by an International Organization or Entity</w:t>
      </w:r>
    </w:p>
    <w:p w14:paraId="534D2C03" w14:textId="77777777" w:rsidR="005B141D" w:rsidRDefault="005B141D" w:rsidP="005B141D">
      <w:pPr>
        <w:rPr>
          <w:bCs/>
          <w:sz w:val="22"/>
          <w:szCs w:val="22"/>
        </w:rPr>
      </w:pPr>
      <w:r w:rsidRPr="00EA16E0">
        <w:rPr>
          <w:bCs/>
          <w:sz w:val="22"/>
          <w:szCs w:val="22"/>
        </w:rPr>
        <w:t>If an international organization or entity wants to adopt an ASHRAE standard it should notify ASHRAE staff.  If ASHRAE staff is notified they shall inform ILS/ISAS of the identical international adoption.</w:t>
      </w:r>
    </w:p>
    <w:p w14:paraId="529E4D93" w14:textId="77777777" w:rsidR="005B141D" w:rsidRDefault="005B141D" w:rsidP="005B141D">
      <w:pPr>
        <w:rPr>
          <w:bCs/>
          <w:sz w:val="22"/>
          <w:szCs w:val="22"/>
        </w:rPr>
      </w:pPr>
    </w:p>
    <w:p w14:paraId="1E12DC1E" w14:textId="77777777" w:rsidR="005B141D" w:rsidRPr="002A2473" w:rsidRDefault="005B141D" w:rsidP="005B141D">
      <w:pPr>
        <w:rPr>
          <w:b/>
          <w:bCs/>
          <w:sz w:val="22"/>
          <w:szCs w:val="22"/>
        </w:rPr>
      </w:pPr>
      <w:r w:rsidRPr="002A2473">
        <w:rPr>
          <w:b/>
          <w:bCs/>
          <w:caps/>
          <w:sz w:val="22"/>
          <w:szCs w:val="22"/>
        </w:rPr>
        <w:t xml:space="preserve">6.2.2.3  </w:t>
      </w:r>
      <w:r w:rsidRPr="002A2473">
        <w:rPr>
          <w:b/>
          <w:bCs/>
          <w:sz w:val="22"/>
          <w:szCs w:val="22"/>
        </w:rPr>
        <w:t>Adaptation of ASHRAE Standards or Guidelines by an International Organization or Entity</w:t>
      </w:r>
    </w:p>
    <w:p w14:paraId="54932AF6" w14:textId="77777777" w:rsidR="005B141D" w:rsidRPr="00EA16E0" w:rsidRDefault="005B141D" w:rsidP="005B141D">
      <w:pPr>
        <w:rPr>
          <w:bCs/>
          <w:sz w:val="22"/>
          <w:szCs w:val="22"/>
        </w:rPr>
      </w:pPr>
      <w:r w:rsidRPr="00EA16E0">
        <w:rPr>
          <w:bCs/>
          <w:sz w:val="22"/>
          <w:szCs w:val="22"/>
        </w:rPr>
        <w:t xml:space="preserve">The </w:t>
      </w:r>
      <w:proofErr w:type="spellStart"/>
      <w:r w:rsidRPr="00EA16E0">
        <w:rPr>
          <w:bCs/>
          <w:sz w:val="22"/>
          <w:szCs w:val="22"/>
        </w:rPr>
        <w:t>StdC</w:t>
      </w:r>
      <w:proofErr w:type="spellEnd"/>
      <w:r w:rsidRPr="00EA16E0">
        <w:rPr>
          <w:bCs/>
          <w:sz w:val="22"/>
          <w:szCs w:val="22"/>
        </w:rPr>
        <w:t xml:space="preserve"> ExCom shall be advised of all requests from international organizations or entities that express an interest to ASHRAE in adapting an ASHRAE standard or guideline to address particular country or regional needs that are not specifically addressed in the ASHRAE standard or guideline. This shall not include translation. The </w:t>
      </w:r>
      <w:proofErr w:type="spellStart"/>
      <w:r w:rsidRPr="00EA16E0">
        <w:rPr>
          <w:bCs/>
          <w:sz w:val="22"/>
          <w:szCs w:val="22"/>
        </w:rPr>
        <w:t>StdC</w:t>
      </w:r>
      <w:proofErr w:type="spellEnd"/>
      <w:r w:rsidRPr="00EA16E0">
        <w:rPr>
          <w:bCs/>
          <w:sz w:val="22"/>
          <w:szCs w:val="22"/>
        </w:rPr>
        <w:t xml:space="preserve"> ExCom shall review that request within 30 days of receipt and provide a recommendation to Technology Council as to the disposition of the request and any future involvement by the </w:t>
      </w:r>
      <w:proofErr w:type="spellStart"/>
      <w:r w:rsidRPr="00EA16E0">
        <w:rPr>
          <w:bCs/>
          <w:sz w:val="22"/>
          <w:szCs w:val="22"/>
        </w:rPr>
        <w:t>StdC</w:t>
      </w:r>
      <w:proofErr w:type="spellEnd"/>
      <w:r w:rsidRPr="00EA16E0">
        <w:rPr>
          <w:bCs/>
          <w:sz w:val="22"/>
          <w:szCs w:val="22"/>
        </w:rPr>
        <w:t xml:space="preserve"> (</w:t>
      </w:r>
      <w:proofErr w:type="gramStart"/>
      <w:r w:rsidRPr="00EA16E0">
        <w:rPr>
          <w:bCs/>
          <w:sz w:val="22"/>
          <w:szCs w:val="22"/>
        </w:rPr>
        <w:t>e.g.</w:t>
      </w:r>
      <w:proofErr w:type="gramEnd"/>
      <w:r w:rsidRPr="00EA16E0">
        <w:rPr>
          <w:bCs/>
          <w:sz w:val="22"/>
          <w:szCs w:val="22"/>
        </w:rPr>
        <w:t xml:space="preserve"> advisory, participatory, oversight) in addressing the request.  The Board of Directors ExCom shall be informed of actions taken. If approved to proceed, the director of publications will execute a license for use that addresses copyright, trademark and royalty issues.</w:t>
      </w:r>
    </w:p>
    <w:p w14:paraId="2CE404D2" w14:textId="77777777" w:rsidR="005B141D" w:rsidRDefault="005B141D" w:rsidP="00CB2107">
      <w:pPr>
        <w:rPr>
          <w:b/>
          <w:sz w:val="22"/>
          <w:szCs w:val="22"/>
        </w:rPr>
      </w:pPr>
    </w:p>
    <w:p w14:paraId="4299C3E1" w14:textId="77777777" w:rsidR="00902D4A" w:rsidRPr="00745E61" w:rsidRDefault="0041307F" w:rsidP="00CB2107">
      <w:pPr>
        <w:rPr>
          <w:b/>
          <w:sz w:val="22"/>
          <w:szCs w:val="22"/>
        </w:rPr>
      </w:pPr>
      <w:r>
        <w:rPr>
          <w:b/>
          <w:sz w:val="22"/>
          <w:szCs w:val="22"/>
        </w:rPr>
        <w:lastRenderedPageBreak/>
        <w:t>6</w:t>
      </w:r>
      <w:r w:rsidR="00902D4A" w:rsidRPr="00745E61">
        <w:rPr>
          <w:b/>
          <w:sz w:val="22"/>
          <w:szCs w:val="22"/>
        </w:rPr>
        <w:t xml:space="preserve">.2.3 </w:t>
      </w:r>
      <w:bookmarkStart w:id="34" w:name="p723"/>
      <w:bookmarkEnd w:id="34"/>
      <w:r w:rsidR="00902D4A" w:rsidRPr="00745E61">
        <w:rPr>
          <w:b/>
          <w:sz w:val="22"/>
          <w:szCs w:val="22"/>
        </w:rPr>
        <w:t>Planning, Policy and Interpretations Subcommittee (PPIS)</w:t>
      </w:r>
    </w:p>
    <w:p w14:paraId="1FFC758B" w14:textId="77777777" w:rsidR="001D2AE7" w:rsidRDefault="001D2AE7" w:rsidP="001D2AE7">
      <w:pPr>
        <w:jc w:val="both"/>
        <w:rPr>
          <w:sz w:val="22"/>
          <w:szCs w:val="22"/>
        </w:rPr>
      </w:pPr>
      <w:r>
        <w:rPr>
          <w:sz w:val="22"/>
          <w:szCs w:val="22"/>
        </w:rPr>
        <w:t>PPIS oversees the</w:t>
      </w:r>
      <w:r w:rsidR="00FF6BB2">
        <w:rPr>
          <w:sz w:val="22"/>
          <w:szCs w:val="22"/>
        </w:rPr>
        <w:t xml:space="preserve"> maintenance and revision of all</w:t>
      </w:r>
      <w:r>
        <w:rPr>
          <w:sz w:val="22"/>
          <w:szCs w:val="22"/>
        </w:rPr>
        <w:t xml:space="preserve"> </w:t>
      </w:r>
      <w:r w:rsidR="00B82F41">
        <w:rPr>
          <w:sz w:val="22"/>
          <w:szCs w:val="22"/>
        </w:rPr>
        <w:t>standards writing and processing procedures and policies</w:t>
      </w:r>
      <w:r>
        <w:rPr>
          <w:sz w:val="22"/>
          <w:szCs w:val="22"/>
        </w:rPr>
        <w:t>,</w:t>
      </w:r>
      <w:r w:rsidR="00FF6BB2">
        <w:rPr>
          <w:sz w:val="22"/>
          <w:szCs w:val="22"/>
        </w:rPr>
        <w:t xml:space="preserve"> recommending approvals of new</w:t>
      </w:r>
      <w:r>
        <w:rPr>
          <w:sz w:val="22"/>
          <w:szCs w:val="22"/>
        </w:rPr>
        <w:t xml:space="preserve"> Title</w:t>
      </w:r>
      <w:r w:rsidR="00FF6BB2">
        <w:rPr>
          <w:sz w:val="22"/>
          <w:szCs w:val="22"/>
        </w:rPr>
        <w:t>s</w:t>
      </w:r>
      <w:r>
        <w:rPr>
          <w:sz w:val="22"/>
          <w:szCs w:val="22"/>
        </w:rPr>
        <w:t xml:space="preserve"> Purpose</w:t>
      </w:r>
      <w:r w:rsidR="00FF6BB2">
        <w:rPr>
          <w:sz w:val="22"/>
          <w:szCs w:val="22"/>
        </w:rPr>
        <w:t>s</w:t>
      </w:r>
      <w:r>
        <w:rPr>
          <w:sz w:val="22"/>
          <w:szCs w:val="22"/>
        </w:rPr>
        <w:t xml:space="preserve"> and Scope</w:t>
      </w:r>
      <w:r w:rsidR="00FF6BB2">
        <w:rPr>
          <w:sz w:val="22"/>
          <w:szCs w:val="22"/>
        </w:rPr>
        <w:t>s</w:t>
      </w:r>
      <w:r>
        <w:rPr>
          <w:sz w:val="22"/>
          <w:szCs w:val="22"/>
        </w:rPr>
        <w:t>, Interpretations</w:t>
      </w:r>
      <w:r w:rsidR="00FF6BB2">
        <w:rPr>
          <w:sz w:val="22"/>
          <w:szCs w:val="22"/>
        </w:rPr>
        <w:t xml:space="preserve"> when no project committees </w:t>
      </w:r>
      <w:proofErr w:type="gramStart"/>
      <w:r w:rsidR="00FF6BB2">
        <w:rPr>
          <w:sz w:val="22"/>
          <w:szCs w:val="22"/>
        </w:rPr>
        <w:t>exists</w:t>
      </w:r>
      <w:proofErr w:type="gramEnd"/>
      <w:r>
        <w:rPr>
          <w:sz w:val="22"/>
          <w:szCs w:val="22"/>
        </w:rPr>
        <w:t xml:space="preserve"> and</w:t>
      </w:r>
      <w:r w:rsidR="00FF6BB2">
        <w:rPr>
          <w:sz w:val="22"/>
          <w:szCs w:val="22"/>
        </w:rPr>
        <w:t xml:space="preserve"> evaluates requests for joint sponsorships of </w:t>
      </w:r>
      <w:r w:rsidR="00853DF0">
        <w:rPr>
          <w:sz w:val="22"/>
          <w:szCs w:val="22"/>
        </w:rPr>
        <w:t>standards</w:t>
      </w:r>
      <w:r w:rsidR="00F673B2">
        <w:rPr>
          <w:sz w:val="22"/>
          <w:szCs w:val="22"/>
        </w:rPr>
        <w:t>,</w:t>
      </w:r>
      <w:r w:rsidR="00853DF0">
        <w:rPr>
          <w:sz w:val="22"/>
          <w:szCs w:val="22"/>
        </w:rPr>
        <w:t xml:space="preserve"> or guidelines</w:t>
      </w:r>
      <w:r w:rsidR="00FF6BB2">
        <w:rPr>
          <w:sz w:val="22"/>
          <w:szCs w:val="22"/>
        </w:rPr>
        <w:t xml:space="preserve">.  </w:t>
      </w:r>
      <w:r>
        <w:rPr>
          <w:sz w:val="22"/>
          <w:szCs w:val="22"/>
        </w:rPr>
        <w:t xml:space="preserve">(See </w:t>
      </w:r>
      <w:proofErr w:type="spellStart"/>
      <w:r w:rsidR="003E0DC0">
        <w:rPr>
          <w:sz w:val="22"/>
          <w:szCs w:val="22"/>
        </w:rPr>
        <w:t>StdC</w:t>
      </w:r>
      <w:proofErr w:type="spellEnd"/>
      <w:r w:rsidR="003E0DC0">
        <w:rPr>
          <w:sz w:val="22"/>
          <w:szCs w:val="22"/>
        </w:rPr>
        <w:t xml:space="preserve"> Reference Manual </w:t>
      </w:r>
      <w:r w:rsidR="006633A0">
        <w:rPr>
          <w:sz w:val="22"/>
          <w:szCs w:val="22"/>
        </w:rPr>
        <w:t>9</w:t>
      </w:r>
      <w:r>
        <w:rPr>
          <w:sz w:val="22"/>
          <w:szCs w:val="22"/>
        </w:rPr>
        <w:t>).</w:t>
      </w:r>
    </w:p>
    <w:p w14:paraId="33361111" w14:textId="77777777" w:rsidR="005B141D" w:rsidRDefault="005B141D" w:rsidP="005B141D">
      <w:pPr>
        <w:rPr>
          <w:b/>
          <w:sz w:val="20"/>
        </w:rPr>
      </w:pPr>
    </w:p>
    <w:p w14:paraId="3C397C2A" w14:textId="77777777" w:rsidR="00BE04B9" w:rsidRDefault="00BE04B9" w:rsidP="00BE04B9">
      <w:pPr>
        <w:rPr>
          <w:b/>
          <w:sz w:val="22"/>
          <w:szCs w:val="22"/>
        </w:rPr>
      </w:pPr>
      <w:r>
        <w:rPr>
          <w:b/>
          <w:sz w:val="22"/>
          <w:szCs w:val="22"/>
        </w:rPr>
        <w:t>6.2.</w:t>
      </w:r>
      <w:r w:rsidR="005B141D">
        <w:rPr>
          <w:b/>
          <w:sz w:val="22"/>
          <w:szCs w:val="22"/>
        </w:rPr>
        <w:t>3</w:t>
      </w:r>
      <w:r>
        <w:rPr>
          <w:b/>
          <w:sz w:val="22"/>
          <w:szCs w:val="22"/>
        </w:rPr>
        <w:t>.1 PPIS Membership</w:t>
      </w:r>
    </w:p>
    <w:p w14:paraId="045D1993" w14:textId="77777777" w:rsidR="00BE04B9" w:rsidRDefault="00BE04B9" w:rsidP="00BE04B9">
      <w:pPr>
        <w:rPr>
          <w:sz w:val="22"/>
          <w:szCs w:val="22"/>
        </w:rPr>
      </w:pPr>
      <w:r>
        <w:rPr>
          <w:sz w:val="22"/>
          <w:szCs w:val="22"/>
        </w:rPr>
        <w:t xml:space="preserve">PPIS is comprised of </w:t>
      </w:r>
      <w:proofErr w:type="spellStart"/>
      <w:r>
        <w:rPr>
          <w:sz w:val="22"/>
          <w:szCs w:val="22"/>
        </w:rPr>
        <w:t>StdC</w:t>
      </w:r>
      <w:proofErr w:type="spellEnd"/>
      <w:r>
        <w:rPr>
          <w:sz w:val="22"/>
          <w:szCs w:val="22"/>
        </w:rPr>
        <w:t xml:space="preserve"> members only</w:t>
      </w:r>
      <w:r w:rsidR="00E22547">
        <w:rPr>
          <w:sz w:val="22"/>
          <w:szCs w:val="22"/>
        </w:rPr>
        <w:t>.</w:t>
      </w:r>
    </w:p>
    <w:p w14:paraId="02AAC65E" w14:textId="77777777" w:rsidR="00BE04B9" w:rsidRPr="00745E61" w:rsidRDefault="00BE04B9" w:rsidP="00CB2107">
      <w:pPr>
        <w:rPr>
          <w:b/>
          <w:sz w:val="22"/>
          <w:szCs w:val="22"/>
        </w:rPr>
      </w:pPr>
    </w:p>
    <w:p w14:paraId="6C88ACD5" w14:textId="77777777" w:rsidR="00902D4A" w:rsidRPr="00745E61" w:rsidRDefault="0053237A" w:rsidP="00CB2107">
      <w:pPr>
        <w:rPr>
          <w:b/>
          <w:sz w:val="22"/>
          <w:szCs w:val="22"/>
        </w:rPr>
      </w:pPr>
      <w:r>
        <w:rPr>
          <w:b/>
          <w:sz w:val="22"/>
          <w:szCs w:val="22"/>
        </w:rPr>
        <w:t>6</w:t>
      </w:r>
      <w:r w:rsidR="00902D4A" w:rsidRPr="00745E61">
        <w:rPr>
          <w:b/>
          <w:sz w:val="22"/>
          <w:szCs w:val="22"/>
        </w:rPr>
        <w:t>.2.4  Standards Project Liaison Subcommittee (SPLS)</w:t>
      </w:r>
    </w:p>
    <w:p w14:paraId="525B596C" w14:textId="77777777" w:rsidR="0030044C" w:rsidRDefault="00B82F41" w:rsidP="00B82F41">
      <w:pPr>
        <w:pStyle w:val="BodyText"/>
        <w:jc w:val="both"/>
        <w:rPr>
          <w:sz w:val="22"/>
          <w:szCs w:val="22"/>
        </w:rPr>
      </w:pPr>
      <w:r>
        <w:rPr>
          <w:sz w:val="22"/>
          <w:szCs w:val="22"/>
        </w:rPr>
        <w:t>SPLS oversees the development of</w:t>
      </w:r>
      <w:r w:rsidR="00E31103">
        <w:rPr>
          <w:sz w:val="22"/>
          <w:szCs w:val="22"/>
        </w:rPr>
        <w:t xml:space="preserve"> </w:t>
      </w:r>
      <w:r w:rsidR="00853DF0">
        <w:rPr>
          <w:sz w:val="22"/>
          <w:szCs w:val="22"/>
        </w:rPr>
        <w:t>standards and guidelines</w:t>
      </w:r>
      <w:r>
        <w:rPr>
          <w:sz w:val="22"/>
          <w:szCs w:val="22"/>
        </w:rPr>
        <w:t xml:space="preserve">, training of PC Chairs, oversees workplans, the development of User’s Manuals, and waivers of the ASHRAE Units policy. </w:t>
      </w:r>
      <w:r w:rsidR="001D2AE7">
        <w:rPr>
          <w:sz w:val="22"/>
          <w:szCs w:val="22"/>
        </w:rPr>
        <w:t xml:space="preserve">(See </w:t>
      </w:r>
      <w:proofErr w:type="spellStart"/>
      <w:r w:rsidR="003E0DC0">
        <w:rPr>
          <w:sz w:val="22"/>
          <w:szCs w:val="22"/>
        </w:rPr>
        <w:t>StdC</w:t>
      </w:r>
      <w:proofErr w:type="spellEnd"/>
      <w:r w:rsidR="003E0DC0">
        <w:rPr>
          <w:sz w:val="22"/>
          <w:szCs w:val="22"/>
        </w:rPr>
        <w:t xml:space="preserve"> Reference Manual </w:t>
      </w:r>
      <w:r w:rsidR="009543BD">
        <w:rPr>
          <w:sz w:val="22"/>
          <w:szCs w:val="22"/>
        </w:rPr>
        <w:t xml:space="preserve">Section </w:t>
      </w:r>
      <w:r w:rsidR="006633A0">
        <w:rPr>
          <w:sz w:val="22"/>
          <w:szCs w:val="22"/>
        </w:rPr>
        <w:t>11</w:t>
      </w:r>
      <w:r w:rsidR="002A1AC6">
        <w:rPr>
          <w:sz w:val="22"/>
          <w:szCs w:val="22"/>
        </w:rPr>
        <w:t>).</w:t>
      </w:r>
    </w:p>
    <w:p w14:paraId="15826053" w14:textId="77777777" w:rsidR="00902D4A" w:rsidRDefault="00902D4A" w:rsidP="00B82F41">
      <w:pPr>
        <w:pStyle w:val="BodyText"/>
        <w:jc w:val="both"/>
        <w:rPr>
          <w:sz w:val="22"/>
          <w:szCs w:val="22"/>
        </w:rPr>
      </w:pPr>
    </w:p>
    <w:p w14:paraId="45B60CB2" w14:textId="77777777" w:rsidR="00E22547" w:rsidRDefault="00E22547" w:rsidP="00E22547">
      <w:pPr>
        <w:rPr>
          <w:b/>
          <w:sz w:val="22"/>
          <w:szCs w:val="22"/>
        </w:rPr>
      </w:pPr>
      <w:r>
        <w:rPr>
          <w:b/>
          <w:sz w:val="22"/>
          <w:szCs w:val="22"/>
        </w:rPr>
        <w:t>6.2.4.1 SPLS Membership</w:t>
      </w:r>
    </w:p>
    <w:p w14:paraId="7411D982" w14:textId="77777777" w:rsidR="00E22547" w:rsidRDefault="00E22547" w:rsidP="00E22547">
      <w:pPr>
        <w:rPr>
          <w:sz w:val="22"/>
          <w:szCs w:val="22"/>
        </w:rPr>
      </w:pPr>
      <w:r>
        <w:rPr>
          <w:sz w:val="22"/>
          <w:szCs w:val="22"/>
        </w:rPr>
        <w:t xml:space="preserve">SPLS is comprised of </w:t>
      </w:r>
      <w:proofErr w:type="spellStart"/>
      <w:r>
        <w:rPr>
          <w:sz w:val="22"/>
          <w:szCs w:val="22"/>
        </w:rPr>
        <w:t>StdC</w:t>
      </w:r>
      <w:proofErr w:type="spellEnd"/>
      <w:r>
        <w:rPr>
          <w:sz w:val="22"/>
          <w:szCs w:val="22"/>
        </w:rPr>
        <w:t xml:space="preserve"> members.</w:t>
      </w:r>
    </w:p>
    <w:p w14:paraId="6BD2500D" w14:textId="77777777" w:rsidR="00E22547" w:rsidRPr="00745E61" w:rsidRDefault="00E22547" w:rsidP="00B82F41">
      <w:pPr>
        <w:pStyle w:val="BodyText"/>
        <w:jc w:val="both"/>
        <w:rPr>
          <w:sz w:val="22"/>
          <w:szCs w:val="22"/>
        </w:rPr>
      </w:pPr>
    </w:p>
    <w:p w14:paraId="7E55FE6D" w14:textId="77777777" w:rsidR="00902D4A" w:rsidRPr="00745E61" w:rsidRDefault="005D58B2" w:rsidP="00CB2107">
      <w:pPr>
        <w:rPr>
          <w:b/>
          <w:sz w:val="22"/>
          <w:szCs w:val="22"/>
        </w:rPr>
      </w:pPr>
      <w:r>
        <w:rPr>
          <w:b/>
          <w:sz w:val="22"/>
          <w:szCs w:val="22"/>
        </w:rPr>
        <w:t>6</w:t>
      </w:r>
      <w:r w:rsidR="00902D4A" w:rsidRPr="00745E61">
        <w:rPr>
          <w:b/>
          <w:sz w:val="22"/>
          <w:szCs w:val="22"/>
        </w:rPr>
        <w:t>.2.</w:t>
      </w:r>
      <w:r w:rsidR="00A85398">
        <w:rPr>
          <w:b/>
          <w:sz w:val="22"/>
          <w:szCs w:val="22"/>
        </w:rPr>
        <w:t>5</w:t>
      </w:r>
      <w:r w:rsidR="00A85398" w:rsidRPr="00745E61">
        <w:rPr>
          <w:b/>
          <w:sz w:val="22"/>
          <w:szCs w:val="22"/>
        </w:rPr>
        <w:t xml:space="preserve"> </w:t>
      </w:r>
      <w:r w:rsidR="00902D4A" w:rsidRPr="00745E61">
        <w:rPr>
          <w:b/>
          <w:sz w:val="22"/>
          <w:szCs w:val="22"/>
        </w:rPr>
        <w:t>Code Interaction Subcommittee</w:t>
      </w:r>
    </w:p>
    <w:p w14:paraId="440E979B" w14:textId="77777777" w:rsidR="00902D4A" w:rsidRPr="00745E61" w:rsidRDefault="00CE6597">
      <w:pPr>
        <w:pStyle w:val="BodyText"/>
        <w:jc w:val="both"/>
        <w:rPr>
          <w:rFonts w:ascii="Times New Roman" w:hAnsi="Times New Roman"/>
          <w:sz w:val="22"/>
          <w:szCs w:val="22"/>
        </w:rPr>
      </w:pPr>
      <w:r>
        <w:rPr>
          <w:rFonts w:ascii="Times New Roman" w:hAnsi="Times New Roman"/>
          <w:sz w:val="22"/>
          <w:szCs w:val="22"/>
        </w:rPr>
        <w:t xml:space="preserve">CIS shall advise the </w:t>
      </w:r>
      <w:proofErr w:type="spellStart"/>
      <w:r>
        <w:rPr>
          <w:rFonts w:ascii="Times New Roman" w:hAnsi="Times New Roman"/>
          <w:sz w:val="22"/>
          <w:szCs w:val="22"/>
        </w:rPr>
        <w:t>StdC</w:t>
      </w:r>
      <w:proofErr w:type="spellEnd"/>
      <w:r>
        <w:rPr>
          <w:rFonts w:ascii="Times New Roman" w:hAnsi="Times New Roman"/>
          <w:sz w:val="22"/>
          <w:szCs w:val="22"/>
        </w:rPr>
        <w:t xml:space="preserve"> on ASHRAE’s relationship with building </w:t>
      </w:r>
      <w:r w:rsidR="00CB3E01">
        <w:rPr>
          <w:rFonts w:ascii="Times New Roman" w:hAnsi="Times New Roman"/>
          <w:sz w:val="22"/>
          <w:szCs w:val="22"/>
        </w:rPr>
        <w:t xml:space="preserve">model </w:t>
      </w:r>
      <w:r>
        <w:rPr>
          <w:rFonts w:ascii="Times New Roman" w:hAnsi="Times New Roman"/>
          <w:sz w:val="22"/>
          <w:szCs w:val="22"/>
        </w:rPr>
        <w:t xml:space="preserve">code </w:t>
      </w:r>
      <w:r w:rsidR="00CB3E01">
        <w:rPr>
          <w:rFonts w:ascii="Times New Roman" w:hAnsi="Times New Roman"/>
          <w:sz w:val="22"/>
          <w:szCs w:val="22"/>
        </w:rPr>
        <w:t>developers, and standards developers</w:t>
      </w:r>
      <w:r>
        <w:rPr>
          <w:rFonts w:ascii="Times New Roman" w:hAnsi="Times New Roman"/>
          <w:sz w:val="22"/>
          <w:szCs w:val="22"/>
        </w:rPr>
        <w:t>.</w:t>
      </w:r>
      <w:r w:rsidR="00AE5883">
        <w:rPr>
          <w:rFonts w:ascii="Times New Roman" w:hAnsi="Times New Roman"/>
          <w:sz w:val="22"/>
          <w:szCs w:val="22"/>
        </w:rPr>
        <w:t xml:space="preserve"> </w:t>
      </w:r>
      <w:r w:rsidR="00CB3E01">
        <w:rPr>
          <w:rFonts w:ascii="Times New Roman" w:hAnsi="Times New Roman"/>
          <w:sz w:val="22"/>
          <w:szCs w:val="22"/>
        </w:rPr>
        <w:t xml:space="preserve">CIS shall advise </w:t>
      </w:r>
      <w:proofErr w:type="spellStart"/>
      <w:r w:rsidR="00CB3E01">
        <w:rPr>
          <w:rFonts w:ascii="Times New Roman" w:hAnsi="Times New Roman"/>
          <w:sz w:val="22"/>
          <w:szCs w:val="22"/>
        </w:rPr>
        <w:t>StdC</w:t>
      </w:r>
      <w:proofErr w:type="spellEnd"/>
      <w:r w:rsidR="00CB3E01">
        <w:rPr>
          <w:rFonts w:ascii="Times New Roman" w:hAnsi="Times New Roman"/>
          <w:sz w:val="22"/>
          <w:szCs w:val="22"/>
        </w:rPr>
        <w:t xml:space="preserve"> on ASHRAE’s relationships with other organizations when directed by the Board of Directors. </w:t>
      </w:r>
      <w:r w:rsidR="00AE5883">
        <w:rPr>
          <w:rFonts w:ascii="Times New Roman" w:hAnsi="Times New Roman"/>
          <w:sz w:val="22"/>
          <w:szCs w:val="22"/>
        </w:rPr>
        <w:t xml:space="preserve">(See </w:t>
      </w:r>
      <w:proofErr w:type="spellStart"/>
      <w:r w:rsidR="0057660A">
        <w:rPr>
          <w:rFonts w:ascii="Times New Roman" w:hAnsi="Times New Roman"/>
          <w:sz w:val="22"/>
          <w:szCs w:val="22"/>
        </w:rPr>
        <w:t>StdC</w:t>
      </w:r>
      <w:proofErr w:type="spellEnd"/>
      <w:r w:rsidR="0057660A">
        <w:rPr>
          <w:rFonts w:ascii="Times New Roman" w:hAnsi="Times New Roman"/>
          <w:sz w:val="22"/>
          <w:szCs w:val="22"/>
        </w:rPr>
        <w:t xml:space="preserve"> Reference Manual</w:t>
      </w:r>
      <w:r w:rsidR="006633A0">
        <w:rPr>
          <w:rFonts w:ascii="Times New Roman" w:hAnsi="Times New Roman"/>
          <w:sz w:val="22"/>
          <w:szCs w:val="22"/>
        </w:rPr>
        <w:t xml:space="preserve"> </w:t>
      </w:r>
      <w:r w:rsidR="009543BD">
        <w:rPr>
          <w:rFonts w:ascii="Times New Roman" w:hAnsi="Times New Roman"/>
          <w:sz w:val="22"/>
          <w:szCs w:val="22"/>
        </w:rPr>
        <w:t xml:space="preserve">Section </w:t>
      </w:r>
      <w:r w:rsidR="00A85398">
        <w:rPr>
          <w:rFonts w:ascii="Times New Roman" w:hAnsi="Times New Roman"/>
          <w:sz w:val="22"/>
          <w:szCs w:val="22"/>
        </w:rPr>
        <w:t>12</w:t>
      </w:r>
      <w:r w:rsidR="00AE5883">
        <w:rPr>
          <w:rFonts w:ascii="Times New Roman" w:hAnsi="Times New Roman"/>
          <w:sz w:val="22"/>
          <w:szCs w:val="22"/>
        </w:rPr>
        <w:t>).</w:t>
      </w:r>
    </w:p>
    <w:p w14:paraId="7EDAE075" w14:textId="77777777" w:rsidR="00E22547" w:rsidRDefault="00E22547" w:rsidP="00E22547">
      <w:pPr>
        <w:pStyle w:val="BodyText"/>
        <w:jc w:val="both"/>
        <w:rPr>
          <w:rFonts w:ascii="Times New Roman" w:hAnsi="Times New Roman"/>
          <w:b/>
          <w:sz w:val="22"/>
          <w:szCs w:val="22"/>
        </w:rPr>
      </w:pPr>
    </w:p>
    <w:p w14:paraId="2DE1EFD3" w14:textId="77777777" w:rsidR="00E22547" w:rsidRDefault="005B141D" w:rsidP="00E22547">
      <w:pPr>
        <w:pStyle w:val="BodyText"/>
        <w:jc w:val="both"/>
        <w:rPr>
          <w:rFonts w:ascii="Times New Roman" w:hAnsi="Times New Roman"/>
          <w:b/>
          <w:sz w:val="22"/>
          <w:szCs w:val="22"/>
        </w:rPr>
      </w:pPr>
      <w:r>
        <w:rPr>
          <w:rFonts w:ascii="Times New Roman" w:hAnsi="Times New Roman"/>
          <w:b/>
          <w:sz w:val="22"/>
          <w:szCs w:val="22"/>
        </w:rPr>
        <w:t>6.2.</w:t>
      </w:r>
      <w:r w:rsidR="00A85398">
        <w:rPr>
          <w:rFonts w:ascii="Times New Roman" w:hAnsi="Times New Roman"/>
          <w:b/>
          <w:sz w:val="22"/>
          <w:szCs w:val="22"/>
        </w:rPr>
        <w:t>5</w:t>
      </w:r>
      <w:r w:rsidR="00E22547" w:rsidRPr="00BE04B9">
        <w:rPr>
          <w:rFonts w:ascii="Times New Roman" w:hAnsi="Times New Roman"/>
          <w:b/>
          <w:sz w:val="22"/>
          <w:szCs w:val="22"/>
        </w:rPr>
        <w:t xml:space="preserve">.1 </w:t>
      </w:r>
      <w:r w:rsidR="00E22547">
        <w:rPr>
          <w:rFonts w:ascii="Times New Roman" w:hAnsi="Times New Roman"/>
          <w:b/>
          <w:sz w:val="22"/>
          <w:szCs w:val="22"/>
        </w:rPr>
        <w:t>CIS</w:t>
      </w:r>
      <w:r w:rsidR="00E22547" w:rsidRPr="00BE04B9">
        <w:rPr>
          <w:rFonts w:ascii="Times New Roman" w:hAnsi="Times New Roman"/>
          <w:b/>
          <w:sz w:val="22"/>
          <w:szCs w:val="22"/>
        </w:rPr>
        <w:t xml:space="preserve"> Members</w:t>
      </w:r>
      <w:r w:rsidR="00723573">
        <w:rPr>
          <w:rFonts w:ascii="Times New Roman" w:hAnsi="Times New Roman"/>
          <w:b/>
          <w:sz w:val="22"/>
          <w:szCs w:val="22"/>
        </w:rPr>
        <w:t>h</w:t>
      </w:r>
      <w:r w:rsidR="00E22547" w:rsidRPr="00BE04B9">
        <w:rPr>
          <w:rFonts w:ascii="Times New Roman" w:hAnsi="Times New Roman"/>
          <w:b/>
          <w:sz w:val="22"/>
          <w:szCs w:val="22"/>
        </w:rPr>
        <w:t>ip</w:t>
      </w:r>
    </w:p>
    <w:p w14:paraId="4FBA4D4A" w14:textId="77777777" w:rsidR="00E22547" w:rsidRPr="00BE04B9" w:rsidRDefault="00E22547" w:rsidP="00E22547">
      <w:pPr>
        <w:pStyle w:val="BodyText"/>
        <w:jc w:val="both"/>
        <w:rPr>
          <w:rFonts w:ascii="Times New Roman" w:hAnsi="Times New Roman"/>
          <w:sz w:val="22"/>
          <w:szCs w:val="22"/>
        </w:rPr>
      </w:pPr>
      <w:r>
        <w:rPr>
          <w:rFonts w:ascii="Times New Roman" w:hAnsi="Times New Roman"/>
          <w:sz w:val="22"/>
          <w:szCs w:val="22"/>
        </w:rPr>
        <w:t>CIS is compris</w:t>
      </w:r>
      <w:r w:rsidR="003075E2">
        <w:rPr>
          <w:rFonts w:ascii="Times New Roman" w:hAnsi="Times New Roman"/>
          <w:sz w:val="22"/>
          <w:szCs w:val="22"/>
        </w:rPr>
        <w:t xml:space="preserve">ed of </w:t>
      </w:r>
      <w:proofErr w:type="spellStart"/>
      <w:r w:rsidR="003075E2">
        <w:rPr>
          <w:rFonts w:ascii="Times New Roman" w:hAnsi="Times New Roman"/>
          <w:sz w:val="22"/>
          <w:szCs w:val="22"/>
        </w:rPr>
        <w:t>StdC</w:t>
      </w:r>
      <w:proofErr w:type="spellEnd"/>
      <w:r w:rsidR="003075E2">
        <w:rPr>
          <w:rFonts w:ascii="Times New Roman" w:hAnsi="Times New Roman"/>
          <w:sz w:val="22"/>
          <w:szCs w:val="22"/>
        </w:rPr>
        <w:t xml:space="preserve"> and non-</w:t>
      </w:r>
      <w:proofErr w:type="spellStart"/>
      <w:r w:rsidR="003075E2">
        <w:rPr>
          <w:rFonts w:ascii="Times New Roman" w:hAnsi="Times New Roman"/>
          <w:sz w:val="22"/>
          <w:szCs w:val="22"/>
        </w:rPr>
        <w:t>StdC</w:t>
      </w:r>
      <w:proofErr w:type="spellEnd"/>
      <w:r w:rsidR="003075E2">
        <w:rPr>
          <w:rFonts w:ascii="Times New Roman" w:hAnsi="Times New Roman"/>
          <w:sz w:val="22"/>
          <w:szCs w:val="22"/>
        </w:rPr>
        <w:t xml:space="preserve"> members with knowledge of Code Development</w:t>
      </w:r>
      <w:r w:rsidR="00CB3E01">
        <w:rPr>
          <w:rFonts w:ascii="Times New Roman" w:hAnsi="Times New Roman"/>
          <w:sz w:val="22"/>
          <w:szCs w:val="22"/>
        </w:rPr>
        <w:t xml:space="preserve"> and Standards Development</w:t>
      </w:r>
      <w:r w:rsidR="003075E2">
        <w:rPr>
          <w:rFonts w:ascii="Times New Roman" w:hAnsi="Times New Roman"/>
          <w:sz w:val="22"/>
          <w:szCs w:val="22"/>
        </w:rPr>
        <w:t>.</w:t>
      </w:r>
      <w:r w:rsidR="00860194">
        <w:rPr>
          <w:rFonts w:ascii="Times New Roman" w:hAnsi="Times New Roman"/>
          <w:sz w:val="22"/>
          <w:szCs w:val="22"/>
        </w:rPr>
        <w:t xml:space="preserve">  Membership is subject to approval by the Chair of Technology Council.</w:t>
      </w:r>
    </w:p>
    <w:p w14:paraId="3933EF58" w14:textId="77777777" w:rsidR="00902D4A" w:rsidRPr="00745E61" w:rsidRDefault="00902D4A" w:rsidP="00CB2107">
      <w:pPr>
        <w:rPr>
          <w:b/>
          <w:sz w:val="22"/>
          <w:szCs w:val="22"/>
        </w:rPr>
      </w:pPr>
    </w:p>
    <w:p w14:paraId="1871C62F" w14:textId="77777777" w:rsidR="00902D4A" w:rsidRPr="00745E61" w:rsidRDefault="005D58B2" w:rsidP="00CB2107">
      <w:pPr>
        <w:rPr>
          <w:b/>
          <w:sz w:val="22"/>
          <w:szCs w:val="22"/>
        </w:rPr>
      </w:pPr>
      <w:r>
        <w:rPr>
          <w:b/>
          <w:sz w:val="22"/>
          <w:szCs w:val="22"/>
        </w:rPr>
        <w:t>6</w:t>
      </w:r>
      <w:r w:rsidR="00902D4A" w:rsidRPr="00745E61">
        <w:rPr>
          <w:b/>
          <w:sz w:val="22"/>
          <w:szCs w:val="22"/>
        </w:rPr>
        <w:t>.2.</w:t>
      </w:r>
      <w:r w:rsidR="00A85398">
        <w:rPr>
          <w:b/>
          <w:sz w:val="22"/>
          <w:szCs w:val="22"/>
        </w:rPr>
        <w:t>6</w:t>
      </w:r>
      <w:r w:rsidR="00A85398" w:rsidRPr="00745E61">
        <w:rPr>
          <w:b/>
          <w:sz w:val="22"/>
          <w:szCs w:val="22"/>
        </w:rPr>
        <w:t xml:space="preserve"> </w:t>
      </w:r>
      <w:r w:rsidR="00902D4A" w:rsidRPr="00745E61">
        <w:rPr>
          <w:b/>
          <w:sz w:val="22"/>
          <w:szCs w:val="22"/>
        </w:rPr>
        <w:t>Standards Reaffirmation Subcommittee (SRS)</w:t>
      </w:r>
    </w:p>
    <w:p w14:paraId="5FCCA9ED" w14:textId="77777777" w:rsidR="00902D4A" w:rsidRPr="00745E61" w:rsidRDefault="00FC32DA">
      <w:pPr>
        <w:pStyle w:val="BodyText2"/>
        <w:rPr>
          <w:rFonts w:ascii="Times New Roman" w:hAnsi="Times New Roman"/>
          <w:sz w:val="22"/>
          <w:szCs w:val="22"/>
        </w:rPr>
      </w:pPr>
      <w:r>
        <w:rPr>
          <w:rFonts w:ascii="Times New Roman" w:hAnsi="Times New Roman"/>
          <w:sz w:val="22"/>
          <w:szCs w:val="22"/>
        </w:rPr>
        <w:t xml:space="preserve">SRS shall be responsible the consensus body for reaffirmation, withdrawal or revision (when updating references will not make a substantive change to the standard or guideline) of ASHRAE standards and guidelines.  </w:t>
      </w:r>
      <w:r w:rsidR="00E22547" w:rsidRPr="00E22547">
        <w:rPr>
          <w:rFonts w:ascii="Times New Roman" w:hAnsi="Times New Roman"/>
          <w:sz w:val="22"/>
          <w:szCs w:val="22"/>
        </w:rPr>
        <w:t xml:space="preserve"> </w:t>
      </w:r>
      <w:r w:rsidR="00E22547">
        <w:rPr>
          <w:rFonts w:ascii="Times New Roman" w:hAnsi="Times New Roman"/>
          <w:sz w:val="22"/>
          <w:szCs w:val="22"/>
        </w:rPr>
        <w:t xml:space="preserve">(See </w:t>
      </w:r>
      <w:proofErr w:type="spellStart"/>
      <w:r w:rsidR="00E22547">
        <w:rPr>
          <w:rFonts w:ascii="Times New Roman" w:hAnsi="Times New Roman"/>
          <w:sz w:val="22"/>
          <w:szCs w:val="22"/>
        </w:rPr>
        <w:t>StdC</w:t>
      </w:r>
      <w:proofErr w:type="spellEnd"/>
      <w:r w:rsidR="00E22547">
        <w:rPr>
          <w:rFonts w:ascii="Times New Roman" w:hAnsi="Times New Roman"/>
          <w:sz w:val="22"/>
          <w:szCs w:val="22"/>
        </w:rPr>
        <w:t xml:space="preserve"> Reference </w:t>
      </w:r>
      <w:r w:rsidR="006633A0">
        <w:rPr>
          <w:rFonts w:ascii="Times New Roman" w:hAnsi="Times New Roman"/>
          <w:sz w:val="22"/>
          <w:szCs w:val="22"/>
        </w:rPr>
        <w:t xml:space="preserve">Manual </w:t>
      </w:r>
      <w:r w:rsidR="009543BD">
        <w:rPr>
          <w:rFonts w:ascii="Times New Roman" w:hAnsi="Times New Roman"/>
          <w:sz w:val="22"/>
          <w:szCs w:val="22"/>
        </w:rPr>
        <w:t xml:space="preserve">Section </w:t>
      </w:r>
      <w:r w:rsidR="00A85398">
        <w:rPr>
          <w:rFonts w:ascii="Times New Roman" w:hAnsi="Times New Roman"/>
          <w:sz w:val="22"/>
          <w:szCs w:val="22"/>
        </w:rPr>
        <w:t>13</w:t>
      </w:r>
      <w:r w:rsidR="00E22547">
        <w:rPr>
          <w:rFonts w:ascii="Times New Roman" w:hAnsi="Times New Roman"/>
          <w:sz w:val="22"/>
          <w:szCs w:val="22"/>
        </w:rPr>
        <w:t xml:space="preserve">).  </w:t>
      </w:r>
    </w:p>
    <w:p w14:paraId="499FD36C" w14:textId="77777777" w:rsidR="00902D4A" w:rsidRDefault="00902D4A">
      <w:pPr>
        <w:jc w:val="both"/>
        <w:rPr>
          <w:sz w:val="22"/>
          <w:szCs w:val="22"/>
          <w:u w:val="double"/>
        </w:rPr>
      </w:pPr>
    </w:p>
    <w:p w14:paraId="137EA669" w14:textId="77777777" w:rsidR="00E22547" w:rsidRPr="006633A0" w:rsidRDefault="00E22547">
      <w:pPr>
        <w:jc w:val="both"/>
        <w:rPr>
          <w:b/>
          <w:sz w:val="22"/>
          <w:szCs w:val="22"/>
        </w:rPr>
      </w:pPr>
      <w:r w:rsidRPr="006633A0">
        <w:rPr>
          <w:b/>
          <w:sz w:val="22"/>
          <w:szCs w:val="22"/>
        </w:rPr>
        <w:t>6.2.</w:t>
      </w:r>
      <w:r w:rsidR="00A85398">
        <w:rPr>
          <w:b/>
          <w:sz w:val="22"/>
          <w:szCs w:val="22"/>
        </w:rPr>
        <w:t>6</w:t>
      </w:r>
      <w:r w:rsidRPr="006633A0">
        <w:rPr>
          <w:b/>
          <w:sz w:val="22"/>
          <w:szCs w:val="22"/>
        </w:rPr>
        <w:t>.1 SRS Membership</w:t>
      </w:r>
    </w:p>
    <w:p w14:paraId="7CC2CB41" w14:textId="17EB9794" w:rsidR="00E22547" w:rsidRDefault="00E22547">
      <w:pPr>
        <w:jc w:val="both"/>
        <w:rPr>
          <w:sz w:val="22"/>
          <w:szCs w:val="22"/>
        </w:rPr>
      </w:pPr>
      <w:r w:rsidRPr="00745E61">
        <w:rPr>
          <w:sz w:val="22"/>
          <w:szCs w:val="22"/>
        </w:rPr>
        <w:t xml:space="preserve">SRS shall be chaired by a member of </w:t>
      </w:r>
      <w:proofErr w:type="spellStart"/>
      <w:r>
        <w:rPr>
          <w:sz w:val="22"/>
          <w:szCs w:val="22"/>
        </w:rPr>
        <w:t>StdC</w:t>
      </w:r>
      <w:proofErr w:type="spellEnd"/>
      <w:r w:rsidRPr="00745E61">
        <w:rPr>
          <w:sz w:val="22"/>
          <w:szCs w:val="22"/>
        </w:rPr>
        <w:t xml:space="preserve"> selected by the </w:t>
      </w:r>
      <w:proofErr w:type="spellStart"/>
      <w:r w:rsidRPr="00745E61">
        <w:rPr>
          <w:sz w:val="22"/>
          <w:szCs w:val="22"/>
        </w:rPr>
        <w:t>StdC</w:t>
      </w:r>
      <w:proofErr w:type="spellEnd"/>
      <w:r w:rsidRPr="00745E61">
        <w:rPr>
          <w:sz w:val="22"/>
          <w:szCs w:val="22"/>
        </w:rPr>
        <w:t xml:space="preserve"> Chair. A balanced</w:t>
      </w:r>
      <w:r>
        <w:rPr>
          <w:sz w:val="22"/>
          <w:szCs w:val="22"/>
        </w:rPr>
        <w:t xml:space="preserve"> standing</w:t>
      </w:r>
      <w:r w:rsidRPr="00745E61">
        <w:rPr>
          <w:sz w:val="22"/>
          <w:szCs w:val="22"/>
        </w:rPr>
        <w:t xml:space="preserve"> project committee of at least five (5) members </w:t>
      </w:r>
      <w:r>
        <w:rPr>
          <w:sz w:val="22"/>
          <w:szCs w:val="22"/>
        </w:rPr>
        <w:t xml:space="preserve">appointed by the </w:t>
      </w:r>
      <w:proofErr w:type="spellStart"/>
      <w:r>
        <w:rPr>
          <w:sz w:val="22"/>
          <w:szCs w:val="22"/>
        </w:rPr>
        <w:t>StdC</w:t>
      </w:r>
      <w:proofErr w:type="spellEnd"/>
      <w:r>
        <w:rPr>
          <w:sz w:val="22"/>
          <w:szCs w:val="22"/>
        </w:rPr>
        <w:t xml:space="preserve"> Chair </w:t>
      </w:r>
      <w:r w:rsidRPr="00745E61">
        <w:rPr>
          <w:sz w:val="22"/>
          <w:szCs w:val="22"/>
        </w:rPr>
        <w:t>shall be formed annually</w:t>
      </w:r>
      <w:r>
        <w:rPr>
          <w:sz w:val="22"/>
          <w:szCs w:val="22"/>
        </w:rPr>
        <w:t xml:space="preserve">, including at least three members of the </w:t>
      </w:r>
      <w:proofErr w:type="spellStart"/>
      <w:r>
        <w:rPr>
          <w:sz w:val="22"/>
          <w:szCs w:val="22"/>
        </w:rPr>
        <w:t>StdC</w:t>
      </w:r>
      <w:proofErr w:type="spellEnd"/>
      <w:r>
        <w:rPr>
          <w:sz w:val="22"/>
          <w:szCs w:val="22"/>
        </w:rPr>
        <w:t xml:space="preserve"> and applicants responding to a call for members posted in Standards Actions.</w:t>
      </w:r>
      <w:r w:rsidRPr="00745E61">
        <w:rPr>
          <w:sz w:val="22"/>
          <w:szCs w:val="22"/>
        </w:rPr>
        <w:t xml:space="preserve"> </w:t>
      </w:r>
    </w:p>
    <w:p w14:paraId="57FC76E5" w14:textId="77777777" w:rsidR="00A55782" w:rsidRPr="00882382" w:rsidRDefault="004D3C27" w:rsidP="00A55782">
      <w:pPr>
        <w:pStyle w:val="Heading1"/>
      </w:pPr>
      <w:r>
        <w:rPr>
          <w:b w:val="0"/>
          <w:caps w:val="0"/>
          <w:u w:val="double"/>
        </w:rPr>
        <w:br w:type="page"/>
      </w:r>
      <w:bookmarkStart w:id="35" w:name="_Toc132295469"/>
      <w:bookmarkStart w:id="36" w:name="_Toc295280997"/>
      <w:bookmarkStart w:id="37" w:name="_Hlk105930739"/>
      <w:r w:rsidR="00A55782" w:rsidRPr="00AA15A4">
        <w:lastRenderedPageBreak/>
        <w:t xml:space="preserve">7 Approval </w:t>
      </w:r>
      <w:r w:rsidR="000C792E" w:rsidRPr="00AA15A4">
        <w:t>SEQUENCE of Standards related actions</w:t>
      </w:r>
      <w:bookmarkEnd w:id="35"/>
    </w:p>
    <w:p w14:paraId="0B6A19D1" w14:textId="77777777" w:rsidR="00A55782" w:rsidRDefault="00A55782" w:rsidP="00A55782">
      <w:pPr>
        <w:jc w:val="both"/>
        <w:rPr>
          <w:sz w:val="22"/>
          <w:szCs w:val="22"/>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3"/>
        <w:gridCol w:w="720"/>
        <w:gridCol w:w="1530"/>
        <w:gridCol w:w="1350"/>
        <w:gridCol w:w="1260"/>
        <w:gridCol w:w="1147"/>
        <w:gridCol w:w="1193"/>
        <w:gridCol w:w="1147"/>
      </w:tblGrid>
      <w:tr w:rsidR="00E1214E" w:rsidRPr="005735EA" w14:paraId="7D2BD3FE" w14:textId="77777777" w:rsidTr="00AA15A4">
        <w:trPr>
          <w:cantSplit/>
          <w:trHeight w:val="351"/>
        </w:trPr>
        <w:tc>
          <w:tcPr>
            <w:tcW w:w="2543" w:type="dxa"/>
            <w:gridSpan w:val="2"/>
            <w:vAlign w:val="center"/>
          </w:tcPr>
          <w:p w14:paraId="006D2C9D" w14:textId="77777777" w:rsidR="00E1214E" w:rsidRPr="005735EA" w:rsidRDefault="00E1214E" w:rsidP="00CD56A0">
            <w:pPr>
              <w:keepLines/>
              <w:jc w:val="center"/>
              <w:rPr>
                <w:b/>
                <w:sz w:val="16"/>
                <w:szCs w:val="16"/>
              </w:rPr>
            </w:pPr>
            <w:r>
              <w:rPr>
                <w:b/>
                <w:sz w:val="16"/>
                <w:szCs w:val="16"/>
              </w:rPr>
              <w:t>Action</w:t>
            </w:r>
          </w:p>
        </w:tc>
        <w:tc>
          <w:tcPr>
            <w:tcW w:w="1530" w:type="dxa"/>
            <w:shd w:val="clear" w:color="auto" w:fill="auto"/>
            <w:vAlign w:val="center"/>
          </w:tcPr>
          <w:p w14:paraId="775533A9" w14:textId="77777777" w:rsidR="00E1214E" w:rsidRPr="005735EA" w:rsidRDefault="00E1214E" w:rsidP="00CD56A0">
            <w:pPr>
              <w:keepLines/>
              <w:jc w:val="center"/>
              <w:rPr>
                <w:b/>
                <w:sz w:val="16"/>
                <w:szCs w:val="16"/>
              </w:rPr>
            </w:pPr>
            <w:r w:rsidRPr="005735EA">
              <w:rPr>
                <w:b/>
                <w:sz w:val="16"/>
                <w:szCs w:val="16"/>
              </w:rPr>
              <w:t>Initiator</w:t>
            </w:r>
          </w:p>
        </w:tc>
        <w:tc>
          <w:tcPr>
            <w:tcW w:w="1350" w:type="dxa"/>
            <w:shd w:val="clear" w:color="auto" w:fill="auto"/>
            <w:vAlign w:val="center"/>
          </w:tcPr>
          <w:p w14:paraId="1AABD62E" w14:textId="77777777" w:rsidR="00E1214E" w:rsidRPr="005735EA" w:rsidRDefault="00E1214E" w:rsidP="00CD56A0">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4D44646C" w14:textId="77777777" w:rsidR="00E1214E" w:rsidRPr="005735EA" w:rsidRDefault="00E1214E" w:rsidP="00CD56A0">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147" w:type="dxa"/>
            <w:shd w:val="clear" w:color="auto" w:fill="auto"/>
            <w:vAlign w:val="center"/>
          </w:tcPr>
          <w:p w14:paraId="53CD6889" w14:textId="77777777" w:rsidR="00E1214E" w:rsidRPr="005735EA" w:rsidRDefault="00E1214E" w:rsidP="00CD56A0">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193" w:type="dxa"/>
            <w:vAlign w:val="center"/>
          </w:tcPr>
          <w:p w14:paraId="0A303FCA" w14:textId="77777777" w:rsidR="00E1214E" w:rsidRPr="005735EA" w:rsidRDefault="00E1214E" w:rsidP="00CD56A0">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147" w:type="dxa"/>
            <w:shd w:val="clear" w:color="auto" w:fill="auto"/>
            <w:vAlign w:val="center"/>
          </w:tcPr>
          <w:p w14:paraId="780BF10F" w14:textId="77777777" w:rsidR="00E1214E" w:rsidRPr="005735EA" w:rsidRDefault="00E1214E" w:rsidP="00CD56A0">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E1214E" w:rsidRPr="009D7D50" w14:paraId="1DDFF03A" w14:textId="77777777" w:rsidTr="00AA15A4">
        <w:trPr>
          <w:cantSplit/>
        </w:trPr>
        <w:tc>
          <w:tcPr>
            <w:tcW w:w="10170" w:type="dxa"/>
            <w:gridSpan w:val="8"/>
            <w:shd w:val="clear" w:color="auto" w:fill="D9D9D9"/>
            <w:vAlign w:val="center"/>
          </w:tcPr>
          <w:p w14:paraId="1570A7BE" w14:textId="77777777" w:rsidR="00E1214E" w:rsidRDefault="00E1214E" w:rsidP="00CD56A0">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Pr="00817A9C">
              <w:rPr>
                <w:b/>
                <w:sz w:val="16"/>
                <w:szCs w:val="16"/>
              </w:rPr>
              <w:t>Standard</w:t>
            </w:r>
            <w:r w:rsidR="0005699C">
              <w:rPr>
                <w:b/>
                <w:sz w:val="16"/>
                <w:szCs w:val="16"/>
              </w:rPr>
              <w:t>,</w:t>
            </w:r>
            <w:r w:rsidRPr="00817A9C">
              <w:rPr>
                <w:b/>
                <w:sz w:val="16"/>
                <w:szCs w:val="16"/>
              </w:rPr>
              <w:t xml:space="preserve"> </w:t>
            </w:r>
            <w:r w:rsidR="0005699C">
              <w:rPr>
                <w:b/>
                <w:sz w:val="16"/>
                <w:szCs w:val="16"/>
              </w:rPr>
              <w:t>g</w:t>
            </w:r>
            <w:r w:rsidRPr="00817A9C">
              <w:rPr>
                <w:b/>
                <w:sz w:val="16"/>
                <w:szCs w:val="16"/>
              </w:rPr>
              <w:t>uideline</w:t>
            </w:r>
            <w:r w:rsidR="0005699C">
              <w:rPr>
                <w:b/>
                <w:sz w:val="16"/>
                <w:szCs w:val="16"/>
              </w:rPr>
              <w:t xml:space="preserve"> or portion thereof</w:t>
            </w:r>
          </w:p>
        </w:tc>
      </w:tr>
      <w:tr w:rsidR="00E1214E" w:rsidRPr="009D7D50" w14:paraId="5900A8DF" w14:textId="77777777" w:rsidTr="00AA15A4">
        <w:trPr>
          <w:cantSplit/>
        </w:trPr>
        <w:tc>
          <w:tcPr>
            <w:tcW w:w="2543" w:type="dxa"/>
            <w:gridSpan w:val="2"/>
            <w:vAlign w:val="center"/>
          </w:tcPr>
          <w:p w14:paraId="330FB07F" w14:textId="77777777" w:rsidR="00E1214E" w:rsidRPr="009D7D50" w:rsidRDefault="00E1214E" w:rsidP="00CD56A0">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7BF2C04A" w14:textId="77777777" w:rsidR="00E1214E" w:rsidRPr="009D7D50" w:rsidRDefault="00E1214E" w:rsidP="00CD56A0">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2AC7D404" w14:textId="77777777" w:rsidR="00E1214E" w:rsidRPr="009D7D50" w:rsidRDefault="00E1214E" w:rsidP="00CD56A0">
            <w:pPr>
              <w:jc w:val="center"/>
              <w:rPr>
                <w:sz w:val="16"/>
                <w:szCs w:val="16"/>
              </w:rPr>
            </w:pPr>
            <w:r w:rsidRPr="009D7D50">
              <w:rPr>
                <w:sz w:val="16"/>
                <w:szCs w:val="16"/>
              </w:rPr>
              <w:t>PPIS</w:t>
            </w:r>
          </w:p>
          <w:p w14:paraId="4F1D5E1E" w14:textId="77777777" w:rsidR="00E1214E" w:rsidRPr="009D7D50" w:rsidRDefault="00E1214E" w:rsidP="00CD56A0">
            <w:pPr>
              <w:jc w:val="center"/>
              <w:rPr>
                <w:sz w:val="16"/>
                <w:szCs w:val="16"/>
              </w:rPr>
            </w:pPr>
          </w:p>
        </w:tc>
        <w:tc>
          <w:tcPr>
            <w:tcW w:w="1260" w:type="dxa"/>
            <w:shd w:val="clear" w:color="auto" w:fill="auto"/>
            <w:vAlign w:val="center"/>
          </w:tcPr>
          <w:p w14:paraId="34B0755F" w14:textId="77777777" w:rsidR="00E1214E" w:rsidRPr="009D7D50" w:rsidRDefault="00E1214E" w:rsidP="00CD56A0">
            <w:pPr>
              <w:jc w:val="center"/>
              <w:rPr>
                <w:sz w:val="16"/>
                <w:szCs w:val="16"/>
              </w:rPr>
            </w:pPr>
            <w:r>
              <w:rPr>
                <w:color w:val="000000"/>
                <w:sz w:val="16"/>
                <w:szCs w:val="16"/>
              </w:rPr>
              <w:t>*Majority</w:t>
            </w:r>
          </w:p>
        </w:tc>
        <w:tc>
          <w:tcPr>
            <w:tcW w:w="1147" w:type="dxa"/>
            <w:shd w:val="clear" w:color="auto" w:fill="auto"/>
            <w:vAlign w:val="center"/>
          </w:tcPr>
          <w:p w14:paraId="70939A7F" w14:textId="77777777" w:rsidR="00E1214E" w:rsidRPr="009D7D50" w:rsidRDefault="00E1214E" w:rsidP="00CD56A0">
            <w:pPr>
              <w:jc w:val="center"/>
              <w:rPr>
                <w:sz w:val="16"/>
                <w:szCs w:val="16"/>
              </w:rPr>
            </w:pPr>
            <w:proofErr w:type="spellStart"/>
            <w:r>
              <w:rPr>
                <w:sz w:val="16"/>
                <w:szCs w:val="16"/>
              </w:rPr>
              <w:t>StdC</w:t>
            </w:r>
            <w:proofErr w:type="spellEnd"/>
          </w:p>
        </w:tc>
        <w:tc>
          <w:tcPr>
            <w:tcW w:w="1193" w:type="dxa"/>
            <w:vAlign w:val="center"/>
          </w:tcPr>
          <w:p w14:paraId="699AE3EF" w14:textId="77777777" w:rsidR="00E1214E" w:rsidRPr="009D7D50" w:rsidRDefault="00E1214E" w:rsidP="00CD56A0">
            <w:pPr>
              <w:jc w:val="center"/>
              <w:rPr>
                <w:sz w:val="16"/>
                <w:szCs w:val="16"/>
              </w:rPr>
            </w:pPr>
            <w:r>
              <w:rPr>
                <w:color w:val="000000"/>
                <w:sz w:val="16"/>
                <w:szCs w:val="16"/>
              </w:rPr>
              <w:t>*Majority</w:t>
            </w:r>
          </w:p>
        </w:tc>
        <w:tc>
          <w:tcPr>
            <w:tcW w:w="1147" w:type="dxa"/>
            <w:shd w:val="clear" w:color="auto" w:fill="auto"/>
            <w:vAlign w:val="center"/>
          </w:tcPr>
          <w:p w14:paraId="762733F1" w14:textId="57A1FEFD" w:rsidR="00E1214E" w:rsidRPr="00AA15A4" w:rsidRDefault="00FB1569" w:rsidP="00CD56A0">
            <w:pPr>
              <w:jc w:val="center"/>
              <w:rPr>
                <w:sz w:val="16"/>
                <w:szCs w:val="16"/>
              </w:rPr>
            </w:pPr>
            <w:r w:rsidRPr="00AA15A4">
              <w:rPr>
                <w:sz w:val="16"/>
                <w:szCs w:val="16"/>
              </w:rPr>
              <w:t>Technology Council</w:t>
            </w:r>
          </w:p>
        </w:tc>
      </w:tr>
      <w:tr w:rsidR="00E1214E" w:rsidRPr="00817A9C" w14:paraId="131DE524" w14:textId="77777777" w:rsidTr="00AA15A4">
        <w:trPr>
          <w:cantSplit/>
          <w:trHeight w:val="188"/>
        </w:trPr>
        <w:tc>
          <w:tcPr>
            <w:tcW w:w="10170" w:type="dxa"/>
            <w:gridSpan w:val="8"/>
            <w:shd w:val="clear" w:color="auto" w:fill="D9D9D9"/>
            <w:vAlign w:val="center"/>
          </w:tcPr>
          <w:p w14:paraId="095B6AD3" w14:textId="77777777" w:rsidR="00E1214E" w:rsidRPr="00817A9C" w:rsidRDefault="00E1214E" w:rsidP="00CD56A0">
            <w:pPr>
              <w:jc w:val="center"/>
              <w:rPr>
                <w:b/>
                <w:sz w:val="16"/>
                <w:szCs w:val="16"/>
              </w:rPr>
            </w:pPr>
            <w:r w:rsidRPr="00817A9C">
              <w:rPr>
                <w:b/>
                <w:sz w:val="16"/>
                <w:szCs w:val="16"/>
              </w:rPr>
              <w:t>Select Project Committee Chair and Members</w:t>
            </w:r>
          </w:p>
        </w:tc>
      </w:tr>
      <w:tr w:rsidR="00E1214E" w:rsidRPr="009D7D50" w14:paraId="77A1C948" w14:textId="77777777" w:rsidTr="00AA15A4">
        <w:trPr>
          <w:cantSplit/>
          <w:trHeight w:val="372"/>
        </w:trPr>
        <w:tc>
          <w:tcPr>
            <w:tcW w:w="2543" w:type="dxa"/>
            <w:gridSpan w:val="2"/>
            <w:vAlign w:val="center"/>
          </w:tcPr>
          <w:p w14:paraId="7CEC4A4D" w14:textId="77777777" w:rsidR="00E1214E" w:rsidRPr="009D7D50" w:rsidRDefault="00E1214E" w:rsidP="00CD56A0">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0FEB5CF8" w14:textId="77777777" w:rsidR="00E1214E" w:rsidRPr="009D7D50" w:rsidRDefault="00E1214E" w:rsidP="00CD56A0">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535A4646" w14:textId="77777777" w:rsidR="00E1214E" w:rsidRPr="009D7D50" w:rsidRDefault="00E1214E" w:rsidP="00CD56A0">
            <w:pPr>
              <w:jc w:val="center"/>
              <w:rPr>
                <w:sz w:val="16"/>
                <w:szCs w:val="16"/>
              </w:rPr>
            </w:pPr>
            <w:r w:rsidRPr="009D7D50">
              <w:rPr>
                <w:sz w:val="16"/>
                <w:szCs w:val="16"/>
              </w:rPr>
              <w:t>SPLS</w:t>
            </w:r>
          </w:p>
        </w:tc>
        <w:tc>
          <w:tcPr>
            <w:tcW w:w="1260" w:type="dxa"/>
            <w:shd w:val="clear" w:color="auto" w:fill="auto"/>
            <w:vAlign w:val="center"/>
          </w:tcPr>
          <w:p w14:paraId="4946BD67" w14:textId="77777777" w:rsidR="00E1214E" w:rsidRPr="009D7D50" w:rsidRDefault="00E1214E" w:rsidP="00CD56A0">
            <w:pPr>
              <w:jc w:val="center"/>
              <w:rPr>
                <w:sz w:val="16"/>
                <w:szCs w:val="16"/>
              </w:rPr>
            </w:pPr>
            <w:r>
              <w:rPr>
                <w:color w:val="000000"/>
                <w:sz w:val="16"/>
                <w:szCs w:val="16"/>
              </w:rPr>
              <w:t>*Majority</w:t>
            </w:r>
          </w:p>
        </w:tc>
        <w:tc>
          <w:tcPr>
            <w:tcW w:w="1147" w:type="dxa"/>
            <w:shd w:val="clear" w:color="auto" w:fill="auto"/>
            <w:vAlign w:val="center"/>
          </w:tcPr>
          <w:p w14:paraId="39DCE751" w14:textId="77777777" w:rsidR="00E1214E" w:rsidRPr="009D7D50" w:rsidRDefault="00E1214E" w:rsidP="00CD56A0">
            <w:pPr>
              <w:jc w:val="center"/>
              <w:rPr>
                <w:sz w:val="16"/>
                <w:szCs w:val="16"/>
              </w:rPr>
            </w:pPr>
          </w:p>
        </w:tc>
        <w:tc>
          <w:tcPr>
            <w:tcW w:w="1193" w:type="dxa"/>
            <w:vAlign w:val="center"/>
          </w:tcPr>
          <w:p w14:paraId="6AA2F287" w14:textId="77777777" w:rsidR="00E1214E" w:rsidRPr="009D7D50" w:rsidRDefault="00E1214E" w:rsidP="00CD56A0">
            <w:pPr>
              <w:jc w:val="center"/>
              <w:rPr>
                <w:sz w:val="16"/>
                <w:szCs w:val="16"/>
              </w:rPr>
            </w:pPr>
          </w:p>
        </w:tc>
        <w:tc>
          <w:tcPr>
            <w:tcW w:w="1147" w:type="dxa"/>
            <w:shd w:val="clear" w:color="auto" w:fill="auto"/>
            <w:vAlign w:val="center"/>
          </w:tcPr>
          <w:p w14:paraId="083F18A9" w14:textId="77777777" w:rsidR="00E1214E" w:rsidRPr="009D7D50" w:rsidRDefault="00E1214E" w:rsidP="00CD56A0">
            <w:pPr>
              <w:jc w:val="center"/>
              <w:rPr>
                <w:sz w:val="16"/>
                <w:szCs w:val="16"/>
              </w:rPr>
            </w:pPr>
          </w:p>
        </w:tc>
      </w:tr>
      <w:tr w:rsidR="00E1214E" w:rsidRPr="00817A9C" w14:paraId="1DA5705E" w14:textId="77777777" w:rsidTr="00AA15A4">
        <w:trPr>
          <w:cantSplit/>
        </w:trPr>
        <w:tc>
          <w:tcPr>
            <w:tcW w:w="10170" w:type="dxa"/>
            <w:gridSpan w:val="8"/>
            <w:shd w:val="clear" w:color="auto" w:fill="D9D9D9"/>
            <w:vAlign w:val="center"/>
          </w:tcPr>
          <w:p w14:paraId="504FBA28" w14:textId="77777777" w:rsidR="00E1214E" w:rsidRDefault="00E1214E" w:rsidP="00CD56A0">
            <w:pPr>
              <w:jc w:val="center"/>
              <w:rPr>
                <w:b/>
                <w:sz w:val="16"/>
                <w:szCs w:val="16"/>
              </w:rPr>
            </w:pPr>
            <w:r>
              <w:rPr>
                <w:b/>
                <w:sz w:val="16"/>
                <w:szCs w:val="16"/>
              </w:rPr>
              <w:t>Advisory Public Review (APR)</w:t>
            </w:r>
          </w:p>
        </w:tc>
      </w:tr>
      <w:tr w:rsidR="00E1214E" w:rsidRPr="009D7D50" w14:paraId="0647E4E8" w14:textId="77777777" w:rsidTr="00AA15A4">
        <w:trPr>
          <w:cantSplit/>
          <w:trHeight w:val="179"/>
        </w:trPr>
        <w:tc>
          <w:tcPr>
            <w:tcW w:w="2543" w:type="dxa"/>
            <w:gridSpan w:val="2"/>
            <w:vAlign w:val="center"/>
          </w:tcPr>
          <w:p w14:paraId="6ED485D6" w14:textId="77777777" w:rsidR="00E1214E" w:rsidRPr="009D7D50" w:rsidRDefault="00E1214E" w:rsidP="00CD56A0">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A1F4BB7" w14:textId="77777777" w:rsidR="00E1214E" w:rsidRPr="009D7D50" w:rsidRDefault="00E1214E" w:rsidP="00CD56A0">
            <w:pPr>
              <w:tabs>
                <w:tab w:val="left" w:pos="342"/>
              </w:tabs>
              <w:jc w:val="center"/>
              <w:rPr>
                <w:sz w:val="16"/>
                <w:szCs w:val="16"/>
              </w:rPr>
            </w:pPr>
            <w:r>
              <w:rPr>
                <w:sz w:val="16"/>
                <w:szCs w:val="16"/>
              </w:rPr>
              <w:t>PC</w:t>
            </w:r>
          </w:p>
        </w:tc>
        <w:tc>
          <w:tcPr>
            <w:tcW w:w="1350" w:type="dxa"/>
            <w:shd w:val="clear" w:color="auto" w:fill="auto"/>
            <w:vAlign w:val="center"/>
          </w:tcPr>
          <w:p w14:paraId="4DA897C0" w14:textId="77777777" w:rsidR="00E1214E" w:rsidRPr="009D7D50" w:rsidRDefault="00E1214E" w:rsidP="00CD56A0">
            <w:pPr>
              <w:jc w:val="center"/>
              <w:rPr>
                <w:sz w:val="16"/>
                <w:szCs w:val="16"/>
              </w:rPr>
            </w:pPr>
            <w:r>
              <w:rPr>
                <w:sz w:val="16"/>
                <w:szCs w:val="16"/>
              </w:rPr>
              <w:t>PC</w:t>
            </w:r>
          </w:p>
        </w:tc>
        <w:tc>
          <w:tcPr>
            <w:tcW w:w="1260" w:type="dxa"/>
            <w:shd w:val="clear" w:color="auto" w:fill="auto"/>
            <w:vAlign w:val="center"/>
          </w:tcPr>
          <w:p w14:paraId="57D28CA5" w14:textId="77777777" w:rsidR="00E1214E" w:rsidRPr="009D7D50" w:rsidRDefault="00E1214E" w:rsidP="00CD56A0">
            <w:pPr>
              <w:jc w:val="center"/>
              <w:rPr>
                <w:sz w:val="16"/>
                <w:szCs w:val="16"/>
              </w:rPr>
            </w:pPr>
            <w:r>
              <w:rPr>
                <w:color w:val="000000"/>
                <w:sz w:val="16"/>
                <w:szCs w:val="16"/>
              </w:rPr>
              <w:t>*Majority</w:t>
            </w:r>
          </w:p>
        </w:tc>
        <w:tc>
          <w:tcPr>
            <w:tcW w:w="1147" w:type="dxa"/>
            <w:shd w:val="clear" w:color="auto" w:fill="auto"/>
            <w:vAlign w:val="center"/>
          </w:tcPr>
          <w:p w14:paraId="25D5C4EE" w14:textId="77777777" w:rsidR="00AA15A4" w:rsidRDefault="00AA15A4" w:rsidP="00AA15A4">
            <w:pPr>
              <w:rPr>
                <w:color w:val="000000"/>
                <w:sz w:val="16"/>
                <w:szCs w:val="16"/>
              </w:rPr>
            </w:pPr>
          </w:p>
          <w:p w14:paraId="39024DF1" w14:textId="2874D9D7" w:rsidR="00E1214E" w:rsidRDefault="00E1214E" w:rsidP="00CD56A0">
            <w:pPr>
              <w:rPr>
                <w:color w:val="000000"/>
                <w:sz w:val="16"/>
                <w:szCs w:val="16"/>
              </w:rPr>
            </w:pPr>
            <w:r>
              <w:rPr>
                <w:color w:val="000000"/>
                <w:sz w:val="16"/>
                <w:szCs w:val="16"/>
              </w:rPr>
              <w:t xml:space="preserve">SPLS Liaison </w:t>
            </w:r>
          </w:p>
          <w:p w14:paraId="436A855C" w14:textId="2A87DBA7" w:rsidR="00AA15A4" w:rsidRPr="00F73A4C" w:rsidRDefault="00AA15A4" w:rsidP="00AA15A4">
            <w:pPr>
              <w:rPr>
                <w:sz w:val="16"/>
                <w:szCs w:val="16"/>
              </w:rPr>
            </w:pPr>
          </w:p>
        </w:tc>
        <w:tc>
          <w:tcPr>
            <w:tcW w:w="1193" w:type="dxa"/>
            <w:shd w:val="clear" w:color="auto" w:fill="auto"/>
            <w:vAlign w:val="center"/>
          </w:tcPr>
          <w:p w14:paraId="688AF815" w14:textId="77777777" w:rsidR="00E1214E" w:rsidRPr="00A10217" w:rsidRDefault="00E1214E" w:rsidP="00CD56A0">
            <w:pPr>
              <w:jc w:val="center"/>
              <w:rPr>
                <w:bCs/>
                <w:sz w:val="16"/>
                <w:szCs w:val="16"/>
                <w:lang w:bidi="en-US"/>
              </w:rPr>
            </w:pPr>
            <w:r w:rsidRPr="00A10217">
              <w:rPr>
                <w:bCs/>
                <w:sz w:val="16"/>
                <w:szCs w:val="16"/>
                <w:lang w:bidi="en-US"/>
              </w:rPr>
              <w:t>None</w:t>
            </w:r>
          </w:p>
        </w:tc>
        <w:tc>
          <w:tcPr>
            <w:tcW w:w="1147" w:type="dxa"/>
            <w:shd w:val="clear" w:color="auto" w:fill="auto"/>
            <w:vAlign w:val="center"/>
          </w:tcPr>
          <w:p w14:paraId="365C196B" w14:textId="77777777" w:rsidR="00E1214E" w:rsidRPr="00401732" w:rsidRDefault="00E1214E" w:rsidP="00CD56A0">
            <w:pPr>
              <w:pStyle w:val="Heading5"/>
              <w:textboxTightWrap w:val="allLines"/>
              <w:rPr>
                <w:b w:val="0"/>
                <w:sz w:val="16"/>
                <w:szCs w:val="16"/>
                <w:lang w:bidi="en-US"/>
              </w:rPr>
            </w:pPr>
          </w:p>
        </w:tc>
      </w:tr>
      <w:tr w:rsidR="00E1214E" w:rsidRPr="00817A9C" w14:paraId="25F79638" w14:textId="77777777" w:rsidTr="00AA15A4">
        <w:trPr>
          <w:cantSplit/>
        </w:trPr>
        <w:tc>
          <w:tcPr>
            <w:tcW w:w="10170" w:type="dxa"/>
            <w:gridSpan w:val="8"/>
            <w:shd w:val="clear" w:color="auto" w:fill="D9D9D9"/>
            <w:vAlign w:val="center"/>
          </w:tcPr>
          <w:p w14:paraId="0F255341" w14:textId="77777777" w:rsidR="00E1214E" w:rsidRDefault="00E1214E" w:rsidP="00CD56A0">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E1214E" w:rsidRPr="009D7D50" w14:paraId="7F0161F1" w14:textId="77777777" w:rsidTr="00AA15A4">
        <w:trPr>
          <w:cantSplit/>
          <w:trHeight w:val="566"/>
        </w:trPr>
        <w:tc>
          <w:tcPr>
            <w:tcW w:w="2543" w:type="dxa"/>
            <w:gridSpan w:val="2"/>
            <w:vAlign w:val="center"/>
          </w:tcPr>
          <w:p w14:paraId="264A9F43" w14:textId="77777777" w:rsidR="00E1214E" w:rsidRPr="009D7D50" w:rsidRDefault="00E1214E" w:rsidP="00CD56A0">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17CC9AAB" w14:textId="77777777" w:rsidR="00E1214E" w:rsidRPr="009D7D50" w:rsidRDefault="00E1214E" w:rsidP="00CD56A0">
            <w:pPr>
              <w:tabs>
                <w:tab w:val="left" w:pos="342"/>
              </w:tabs>
              <w:jc w:val="center"/>
              <w:rPr>
                <w:sz w:val="16"/>
                <w:szCs w:val="16"/>
              </w:rPr>
            </w:pPr>
            <w:r>
              <w:rPr>
                <w:sz w:val="16"/>
                <w:szCs w:val="16"/>
              </w:rPr>
              <w:t>PC or SRS #</w:t>
            </w:r>
          </w:p>
        </w:tc>
        <w:tc>
          <w:tcPr>
            <w:tcW w:w="1350" w:type="dxa"/>
            <w:shd w:val="clear" w:color="auto" w:fill="auto"/>
            <w:vAlign w:val="center"/>
          </w:tcPr>
          <w:p w14:paraId="1F5656FC" w14:textId="77777777" w:rsidR="00E1214E" w:rsidRPr="009D7D50" w:rsidRDefault="00E1214E" w:rsidP="00CD56A0">
            <w:pPr>
              <w:jc w:val="center"/>
              <w:rPr>
                <w:sz w:val="16"/>
                <w:szCs w:val="16"/>
              </w:rPr>
            </w:pPr>
            <w:r w:rsidRPr="009D7D50">
              <w:rPr>
                <w:sz w:val="16"/>
                <w:szCs w:val="16"/>
              </w:rPr>
              <w:t>PC or SRS</w:t>
            </w:r>
          </w:p>
        </w:tc>
        <w:tc>
          <w:tcPr>
            <w:tcW w:w="1260" w:type="dxa"/>
            <w:shd w:val="clear" w:color="auto" w:fill="auto"/>
            <w:vAlign w:val="center"/>
          </w:tcPr>
          <w:p w14:paraId="4E53B240" w14:textId="77777777" w:rsidR="00E1214E" w:rsidRPr="009D7D50" w:rsidRDefault="00E1214E" w:rsidP="00CD56A0">
            <w:pPr>
              <w:jc w:val="center"/>
              <w:rPr>
                <w:sz w:val="16"/>
                <w:szCs w:val="16"/>
                <w:vertAlign w:val="superscript"/>
              </w:rPr>
            </w:pPr>
            <w:r>
              <w:rPr>
                <w:sz w:val="16"/>
                <w:szCs w:val="16"/>
              </w:rPr>
              <w:t>+Standards Action</w:t>
            </w:r>
          </w:p>
        </w:tc>
        <w:tc>
          <w:tcPr>
            <w:tcW w:w="1147" w:type="dxa"/>
            <w:shd w:val="clear" w:color="auto" w:fill="auto"/>
            <w:vAlign w:val="center"/>
          </w:tcPr>
          <w:p w14:paraId="7BEA1DA2" w14:textId="77777777" w:rsidR="00E1214E" w:rsidRPr="009D7D50" w:rsidRDefault="000C1331" w:rsidP="00CD56A0">
            <w:pPr>
              <w:jc w:val="center"/>
              <w:rPr>
                <w:color w:val="000000"/>
                <w:sz w:val="16"/>
                <w:szCs w:val="16"/>
              </w:rPr>
            </w:pPr>
            <w:r>
              <w:rPr>
                <w:sz w:val="16"/>
                <w:szCs w:val="16"/>
              </w:rPr>
              <w:t>SPLS Liaison</w:t>
            </w:r>
          </w:p>
        </w:tc>
        <w:tc>
          <w:tcPr>
            <w:tcW w:w="1193" w:type="dxa"/>
            <w:vAlign w:val="center"/>
          </w:tcPr>
          <w:p w14:paraId="5F7FCEA1" w14:textId="77777777" w:rsidR="00E1214E" w:rsidRPr="009D7D50" w:rsidRDefault="000C1331" w:rsidP="00CD56A0">
            <w:pPr>
              <w:keepNext/>
              <w:keepLines/>
              <w:jc w:val="center"/>
              <w:rPr>
                <w:sz w:val="16"/>
                <w:szCs w:val="16"/>
              </w:rPr>
            </w:pPr>
            <w:r>
              <w:rPr>
                <w:sz w:val="16"/>
                <w:szCs w:val="16"/>
              </w:rPr>
              <w:t>Approval</w:t>
            </w:r>
          </w:p>
        </w:tc>
        <w:tc>
          <w:tcPr>
            <w:tcW w:w="1147" w:type="dxa"/>
            <w:shd w:val="clear" w:color="auto" w:fill="auto"/>
            <w:vAlign w:val="center"/>
          </w:tcPr>
          <w:p w14:paraId="4526DD37" w14:textId="77777777" w:rsidR="00E1214E" w:rsidRPr="009D7D50" w:rsidRDefault="00E1214E" w:rsidP="00CD56A0">
            <w:pPr>
              <w:keepNext/>
              <w:keepLines/>
              <w:jc w:val="center"/>
              <w:rPr>
                <w:sz w:val="16"/>
                <w:szCs w:val="16"/>
              </w:rPr>
            </w:pPr>
          </w:p>
        </w:tc>
      </w:tr>
      <w:tr w:rsidR="00E1214E" w:rsidRPr="009D7D50" w14:paraId="3F885286" w14:textId="77777777" w:rsidTr="00AA15A4">
        <w:trPr>
          <w:cantSplit/>
          <w:trHeight w:val="179"/>
        </w:trPr>
        <w:tc>
          <w:tcPr>
            <w:tcW w:w="2543" w:type="dxa"/>
            <w:gridSpan w:val="2"/>
            <w:vAlign w:val="center"/>
          </w:tcPr>
          <w:p w14:paraId="73174805" w14:textId="77777777" w:rsidR="00E1214E" w:rsidRPr="009D7D50" w:rsidRDefault="00E1214E" w:rsidP="00CD56A0">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5F32D031" w14:textId="77777777" w:rsidR="00E1214E" w:rsidRPr="009D7D50" w:rsidRDefault="00E1214E" w:rsidP="00CD56A0">
            <w:pPr>
              <w:tabs>
                <w:tab w:val="left" w:pos="342"/>
              </w:tabs>
              <w:jc w:val="center"/>
              <w:rPr>
                <w:sz w:val="16"/>
                <w:szCs w:val="16"/>
              </w:rPr>
            </w:pPr>
            <w:r>
              <w:rPr>
                <w:sz w:val="16"/>
                <w:szCs w:val="16"/>
              </w:rPr>
              <w:t>PC or SRS #</w:t>
            </w:r>
          </w:p>
        </w:tc>
        <w:tc>
          <w:tcPr>
            <w:tcW w:w="1350" w:type="dxa"/>
            <w:shd w:val="clear" w:color="auto" w:fill="auto"/>
            <w:vAlign w:val="center"/>
          </w:tcPr>
          <w:p w14:paraId="3B69C2B0" w14:textId="77777777" w:rsidR="00E1214E" w:rsidRPr="009D7D50" w:rsidRDefault="00E1214E" w:rsidP="00CD56A0">
            <w:pPr>
              <w:jc w:val="center"/>
              <w:rPr>
                <w:sz w:val="16"/>
                <w:szCs w:val="16"/>
              </w:rPr>
            </w:pPr>
            <w:r w:rsidRPr="009D7D50">
              <w:rPr>
                <w:sz w:val="16"/>
                <w:szCs w:val="16"/>
              </w:rPr>
              <w:t>PC</w:t>
            </w:r>
          </w:p>
        </w:tc>
        <w:tc>
          <w:tcPr>
            <w:tcW w:w="1260" w:type="dxa"/>
            <w:shd w:val="clear" w:color="auto" w:fill="auto"/>
            <w:vAlign w:val="center"/>
          </w:tcPr>
          <w:p w14:paraId="635EC070" w14:textId="77777777" w:rsidR="00E1214E" w:rsidRPr="009D7D50" w:rsidRDefault="00E1214E" w:rsidP="00CD56A0">
            <w:pPr>
              <w:jc w:val="center"/>
              <w:rPr>
                <w:sz w:val="16"/>
                <w:szCs w:val="16"/>
              </w:rPr>
            </w:pPr>
            <w:r>
              <w:rPr>
                <w:sz w:val="16"/>
                <w:szCs w:val="16"/>
              </w:rPr>
              <w:t>+Standards Action</w:t>
            </w:r>
          </w:p>
        </w:tc>
        <w:tc>
          <w:tcPr>
            <w:tcW w:w="1147" w:type="dxa"/>
            <w:shd w:val="clear" w:color="auto" w:fill="auto"/>
            <w:vAlign w:val="center"/>
          </w:tcPr>
          <w:p w14:paraId="4509751C" w14:textId="77777777" w:rsidR="00E1214E" w:rsidRPr="00F73A4C" w:rsidRDefault="00E1214E" w:rsidP="00CD56A0">
            <w:pPr>
              <w:jc w:val="center"/>
              <w:rPr>
                <w:sz w:val="16"/>
                <w:szCs w:val="16"/>
              </w:rPr>
            </w:pPr>
            <w:r w:rsidRPr="009D7D50">
              <w:rPr>
                <w:sz w:val="16"/>
                <w:szCs w:val="16"/>
              </w:rPr>
              <w:t>SPLS</w:t>
            </w:r>
          </w:p>
        </w:tc>
        <w:tc>
          <w:tcPr>
            <w:tcW w:w="1193" w:type="dxa"/>
            <w:vAlign w:val="center"/>
          </w:tcPr>
          <w:p w14:paraId="16DE86A5" w14:textId="77777777" w:rsidR="00E1214E" w:rsidRPr="00BA3094" w:rsidRDefault="00EB3273" w:rsidP="00CD56A0">
            <w:pPr>
              <w:jc w:val="center"/>
              <w:rPr>
                <w:b/>
                <w:color w:val="7F7F7F"/>
                <w:sz w:val="16"/>
                <w:szCs w:val="16"/>
                <w:lang w:bidi="en-US"/>
              </w:rPr>
            </w:pPr>
            <w:r>
              <w:rPr>
                <w:sz w:val="16"/>
                <w:szCs w:val="16"/>
              </w:rPr>
              <w:t>*Majority</w:t>
            </w:r>
          </w:p>
        </w:tc>
        <w:tc>
          <w:tcPr>
            <w:tcW w:w="1147" w:type="dxa"/>
            <w:shd w:val="clear" w:color="auto" w:fill="auto"/>
            <w:vAlign w:val="center"/>
          </w:tcPr>
          <w:p w14:paraId="71E028C0" w14:textId="77777777" w:rsidR="00E1214E" w:rsidRPr="00401732" w:rsidRDefault="00E1214E" w:rsidP="00CD56A0">
            <w:pPr>
              <w:pStyle w:val="Heading5"/>
              <w:textboxTightWrap w:val="allLines"/>
              <w:rPr>
                <w:b w:val="0"/>
                <w:sz w:val="16"/>
                <w:szCs w:val="16"/>
                <w:lang w:bidi="en-US"/>
              </w:rPr>
            </w:pPr>
          </w:p>
        </w:tc>
      </w:tr>
      <w:tr w:rsidR="00E1214E" w:rsidRPr="00817A9C" w14:paraId="0D3A20C9" w14:textId="77777777" w:rsidTr="00AA15A4">
        <w:trPr>
          <w:cantSplit/>
          <w:trHeight w:val="198"/>
        </w:trPr>
        <w:tc>
          <w:tcPr>
            <w:tcW w:w="10170" w:type="dxa"/>
            <w:gridSpan w:val="8"/>
            <w:shd w:val="clear" w:color="auto" w:fill="D9D9D9"/>
            <w:vAlign w:val="center"/>
          </w:tcPr>
          <w:p w14:paraId="6BD2B36C" w14:textId="77777777" w:rsidR="00E1214E" w:rsidRPr="00817A9C" w:rsidRDefault="00E1214E" w:rsidP="00CD56A0">
            <w:pPr>
              <w:keepLines/>
              <w:jc w:val="center"/>
              <w:rPr>
                <w:b/>
                <w:sz w:val="16"/>
                <w:szCs w:val="16"/>
              </w:rPr>
            </w:pPr>
            <w:r w:rsidRPr="00817A9C">
              <w:rPr>
                <w:b/>
                <w:sz w:val="16"/>
                <w:szCs w:val="16"/>
              </w:rPr>
              <w:t>Respond to Comments</w:t>
            </w:r>
          </w:p>
        </w:tc>
      </w:tr>
      <w:tr w:rsidR="00E1214E" w:rsidRPr="009D7D50" w14:paraId="64499D62" w14:textId="77777777" w:rsidTr="00AA15A4">
        <w:trPr>
          <w:cantSplit/>
          <w:trHeight w:val="386"/>
        </w:trPr>
        <w:tc>
          <w:tcPr>
            <w:tcW w:w="2543" w:type="dxa"/>
            <w:gridSpan w:val="2"/>
            <w:vAlign w:val="center"/>
          </w:tcPr>
          <w:p w14:paraId="0A087DE3" w14:textId="77777777" w:rsidR="00E1214E" w:rsidRPr="009D7D50" w:rsidRDefault="00E1214E" w:rsidP="00CD56A0">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02D23028" w14:textId="77777777" w:rsidR="00E1214E" w:rsidRPr="009D7D50" w:rsidRDefault="00E1214E" w:rsidP="00CD56A0">
            <w:pPr>
              <w:keepLines/>
              <w:tabs>
                <w:tab w:val="left" w:pos="342"/>
              </w:tabs>
              <w:jc w:val="center"/>
              <w:rPr>
                <w:sz w:val="16"/>
                <w:szCs w:val="16"/>
              </w:rPr>
            </w:pPr>
            <w:r>
              <w:rPr>
                <w:sz w:val="16"/>
                <w:szCs w:val="16"/>
              </w:rPr>
              <w:t>PC or SRS #</w:t>
            </w:r>
          </w:p>
        </w:tc>
        <w:tc>
          <w:tcPr>
            <w:tcW w:w="1350" w:type="dxa"/>
            <w:shd w:val="clear" w:color="auto" w:fill="auto"/>
            <w:vAlign w:val="center"/>
          </w:tcPr>
          <w:p w14:paraId="548E14F8" w14:textId="77777777" w:rsidR="00E1214E" w:rsidRPr="009D7D50" w:rsidRDefault="00E1214E" w:rsidP="00CD56A0">
            <w:pPr>
              <w:keepLines/>
              <w:jc w:val="center"/>
              <w:rPr>
                <w:sz w:val="16"/>
                <w:szCs w:val="16"/>
              </w:rPr>
            </w:pPr>
            <w:r>
              <w:rPr>
                <w:sz w:val="16"/>
                <w:szCs w:val="16"/>
              </w:rPr>
              <w:t>PC or SRS #</w:t>
            </w:r>
          </w:p>
        </w:tc>
        <w:tc>
          <w:tcPr>
            <w:tcW w:w="1260" w:type="dxa"/>
            <w:shd w:val="clear" w:color="auto" w:fill="auto"/>
            <w:vAlign w:val="center"/>
          </w:tcPr>
          <w:p w14:paraId="69C74EE7" w14:textId="77777777" w:rsidR="00E1214E" w:rsidRPr="009D7D50" w:rsidRDefault="00E1214E" w:rsidP="00CD56A0">
            <w:pPr>
              <w:keepLines/>
              <w:jc w:val="center"/>
              <w:rPr>
                <w:sz w:val="16"/>
                <w:szCs w:val="16"/>
              </w:rPr>
            </w:pPr>
            <w:r>
              <w:rPr>
                <w:color w:val="000000"/>
                <w:sz w:val="16"/>
                <w:szCs w:val="16"/>
              </w:rPr>
              <w:t>*Majority</w:t>
            </w:r>
          </w:p>
        </w:tc>
        <w:tc>
          <w:tcPr>
            <w:tcW w:w="1147" w:type="dxa"/>
            <w:shd w:val="clear" w:color="auto" w:fill="auto"/>
            <w:vAlign w:val="center"/>
          </w:tcPr>
          <w:p w14:paraId="1E2AD879" w14:textId="77777777" w:rsidR="00E1214E" w:rsidRPr="009D7D50" w:rsidRDefault="00E1214E" w:rsidP="00CD56A0">
            <w:pPr>
              <w:keepLines/>
              <w:jc w:val="center"/>
              <w:rPr>
                <w:sz w:val="16"/>
                <w:szCs w:val="16"/>
              </w:rPr>
            </w:pPr>
            <w:r w:rsidRPr="009D7D50">
              <w:rPr>
                <w:sz w:val="16"/>
                <w:szCs w:val="16"/>
              </w:rPr>
              <w:t>PC or SRS</w:t>
            </w:r>
            <w:r>
              <w:rPr>
                <w:sz w:val="16"/>
                <w:szCs w:val="16"/>
              </w:rPr>
              <w:t xml:space="preserve"> #</w:t>
            </w:r>
          </w:p>
        </w:tc>
        <w:tc>
          <w:tcPr>
            <w:tcW w:w="1193" w:type="dxa"/>
            <w:vAlign w:val="center"/>
          </w:tcPr>
          <w:p w14:paraId="6CBF6AA7" w14:textId="77777777" w:rsidR="00E1214E" w:rsidRPr="009D7D50" w:rsidRDefault="00E1214E" w:rsidP="00CD56A0">
            <w:pPr>
              <w:keepLines/>
              <w:jc w:val="center"/>
              <w:rPr>
                <w:sz w:val="16"/>
                <w:szCs w:val="16"/>
              </w:rPr>
            </w:pPr>
            <w:r>
              <w:rPr>
                <w:color w:val="000000"/>
                <w:sz w:val="16"/>
                <w:szCs w:val="16"/>
              </w:rPr>
              <w:t>*Majority</w:t>
            </w:r>
          </w:p>
        </w:tc>
        <w:tc>
          <w:tcPr>
            <w:tcW w:w="1147" w:type="dxa"/>
            <w:shd w:val="clear" w:color="auto" w:fill="auto"/>
            <w:vAlign w:val="center"/>
          </w:tcPr>
          <w:p w14:paraId="066B7A90" w14:textId="77777777" w:rsidR="00E1214E" w:rsidRPr="009D7D50" w:rsidRDefault="00E1214E" w:rsidP="00CD56A0">
            <w:pPr>
              <w:keepLines/>
              <w:jc w:val="center"/>
              <w:rPr>
                <w:sz w:val="16"/>
                <w:szCs w:val="16"/>
              </w:rPr>
            </w:pPr>
          </w:p>
        </w:tc>
      </w:tr>
      <w:tr w:rsidR="00E1214E" w:rsidRPr="00817A9C" w14:paraId="4712493A" w14:textId="77777777" w:rsidTr="00AA15A4">
        <w:trPr>
          <w:cantSplit/>
          <w:trHeight w:val="144"/>
        </w:trPr>
        <w:tc>
          <w:tcPr>
            <w:tcW w:w="10170" w:type="dxa"/>
            <w:gridSpan w:val="8"/>
            <w:shd w:val="clear" w:color="auto" w:fill="D9D9D9"/>
            <w:vAlign w:val="center"/>
          </w:tcPr>
          <w:p w14:paraId="7727A5D8" w14:textId="77777777" w:rsidR="00E1214E" w:rsidRPr="00817A9C" w:rsidRDefault="00E1214E" w:rsidP="00CD56A0">
            <w:pPr>
              <w:jc w:val="center"/>
              <w:rPr>
                <w:b/>
                <w:sz w:val="16"/>
                <w:szCs w:val="16"/>
              </w:rPr>
            </w:pPr>
            <w:r w:rsidRPr="00817A9C">
              <w:rPr>
                <w:b/>
                <w:sz w:val="16"/>
                <w:szCs w:val="16"/>
              </w:rPr>
              <w:t>Publication</w:t>
            </w:r>
            <w:r>
              <w:rPr>
                <w:b/>
                <w:sz w:val="16"/>
                <w:szCs w:val="16"/>
              </w:rPr>
              <w:t xml:space="preserve">/Withdrawal </w:t>
            </w:r>
          </w:p>
        </w:tc>
      </w:tr>
      <w:tr w:rsidR="00E1214E" w:rsidRPr="009D7D50" w14:paraId="474790B9" w14:textId="77777777" w:rsidTr="00AA15A4">
        <w:trPr>
          <w:cantSplit/>
          <w:trHeight w:val="251"/>
        </w:trPr>
        <w:tc>
          <w:tcPr>
            <w:tcW w:w="2543" w:type="dxa"/>
            <w:gridSpan w:val="2"/>
            <w:vAlign w:val="center"/>
          </w:tcPr>
          <w:p w14:paraId="2390165B" w14:textId="77777777" w:rsidR="00E1214E" w:rsidRDefault="00E1214E" w:rsidP="00CD56A0">
            <w:pPr>
              <w:keepLines/>
              <w:tabs>
                <w:tab w:val="left" w:pos="342"/>
              </w:tabs>
              <w:jc w:val="center"/>
              <w:rPr>
                <w:sz w:val="16"/>
                <w:szCs w:val="16"/>
              </w:rPr>
            </w:pPr>
            <w:r>
              <w:rPr>
                <w:sz w:val="16"/>
                <w:szCs w:val="16"/>
              </w:rPr>
              <w:t xml:space="preserve">Recommend publication or withdrawal following PPR (unresolved objector/commenter/negative </w:t>
            </w:r>
          </w:p>
          <w:p w14:paraId="69B66431" w14:textId="77777777" w:rsidR="00E1214E" w:rsidRPr="009D7D50" w:rsidRDefault="00E1214E" w:rsidP="00CD56A0">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152EA26A" w14:textId="77777777" w:rsidR="00E1214E" w:rsidRPr="009D7D50" w:rsidRDefault="00E1214E" w:rsidP="00CD56A0">
            <w:pPr>
              <w:keepLines/>
              <w:tabs>
                <w:tab w:val="left" w:pos="342"/>
              </w:tabs>
              <w:jc w:val="center"/>
              <w:rPr>
                <w:sz w:val="16"/>
                <w:szCs w:val="16"/>
              </w:rPr>
            </w:pPr>
            <w:r>
              <w:rPr>
                <w:sz w:val="16"/>
                <w:szCs w:val="16"/>
              </w:rPr>
              <w:t>PC or SRS #</w:t>
            </w:r>
          </w:p>
        </w:tc>
        <w:tc>
          <w:tcPr>
            <w:tcW w:w="1350" w:type="dxa"/>
            <w:shd w:val="clear" w:color="auto" w:fill="auto"/>
            <w:vAlign w:val="center"/>
          </w:tcPr>
          <w:p w14:paraId="39198497" w14:textId="77777777" w:rsidR="00E1214E" w:rsidRPr="009D7D50" w:rsidRDefault="00E1214E" w:rsidP="00CD56A0">
            <w:pPr>
              <w:jc w:val="center"/>
              <w:rPr>
                <w:sz w:val="16"/>
                <w:szCs w:val="16"/>
              </w:rPr>
            </w:pPr>
            <w:r>
              <w:rPr>
                <w:sz w:val="16"/>
                <w:szCs w:val="16"/>
              </w:rPr>
              <w:t>PC or SRS #</w:t>
            </w:r>
          </w:p>
        </w:tc>
        <w:tc>
          <w:tcPr>
            <w:tcW w:w="1260" w:type="dxa"/>
            <w:shd w:val="clear" w:color="auto" w:fill="auto"/>
            <w:vAlign w:val="center"/>
          </w:tcPr>
          <w:p w14:paraId="230064A8" w14:textId="77777777" w:rsidR="00E1214E" w:rsidRPr="009D7D50" w:rsidRDefault="00E1214E" w:rsidP="00CD56A0">
            <w:pPr>
              <w:jc w:val="center"/>
              <w:rPr>
                <w:strike/>
                <w:color w:val="FF0000"/>
                <w:sz w:val="16"/>
                <w:szCs w:val="16"/>
                <w:vertAlign w:val="superscript"/>
              </w:rPr>
            </w:pPr>
            <w:r>
              <w:rPr>
                <w:sz w:val="16"/>
                <w:szCs w:val="16"/>
              </w:rPr>
              <w:t>+Standards Action</w:t>
            </w:r>
          </w:p>
        </w:tc>
        <w:tc>
          <w:tcPr>
            <w:tcW w:w="1147" w:type="dxa"/>
            <w:shd w:val="clear" w:color="auto" w:fill="auto"/>
            <w:vAlign w:val="center"/>
          </w:tcPr>
          <w:p w14:paraId="612245AA" w14:textId="77777777" w:rsidR="00E1214E" w:rsidRPr="009D7D50" w:rsidRDefault="00E1214E" w:rsidP="00CD56A0">
            <w:pPr>
              <w:jc w:val="center"/>
              <w:rPr>
                <w:sz w:val="16"/>
                <w:szCs w:val="16"/>
              </w:rPr>
            </w:pPr>
            <w:proofErr w:type="spellStart"/>
            <w:r>
              <w:rPr>
                <w:sz w:val="16"/>
                <w:szCs w:val="16"/>
              </w:rPr>
              <w:t>StdC</w:t>
            </w:r>
            <w:proofErr w:type="spellEnd"/>
          </w:p>
        </w:tc>
        <w:tc>
          <w:tcPr>
            <w:tcW w:w="1193" w:type="dxa"/>
            <w:vAlign w:val="center"/>
          </w:tcPr>
          <w:p w14:paraId="7AD77348" w14:textId="77777777" w:rsidR="00E1214E" w:rsidRDefault="00EB3273" w:rsidP="00CD56A0">
            <w:pPr>
              <w:jc w:val="center"/>
              <w:rPr>
                <w:sz w:val="16"/>
                <w:szCs w:val="16"/>
              </w:rPr>
            </w:pPr>
            <w:r>
              <w:rPr>
                <w:sz w:val="16"/>
                <w:szCs w:val="16"/>
              </w:rPr>
              <w:t>*Majority</w:t>
            </w:r>
          </w:p>
        </w:tc>
        <w:tc>
          <w:tcPr>
            <w:tcW w:w="1147" w:type="dxa"/>
            <w:shd w:val="clear" w:color="auto" w:fill="auto"/>
            <w:vAlign w:val="center"/>
          </w:tcPr>
          <w:p w14:paraId="366E79E8" w14:textId="07E79246" w:rsidR="00E1214E" w:rsidRPr="00641B64" w:rsidRDefault="00E1214E" w:rsidP="00CD56A0">
            <w:pPr>
              <w:jc w:val="center"/>
              <w:rPr>
                <w:strike/>
                <w:sz w:val="16"/>
                <w:szCs w:val="16"/>
              </w:rPr>
            </w:pPr>
          </w:p>
        </w:tc>
      </w:tr>
      <w:tr w:rsidR="00E1214E" w:rsidRPr="009D7D50" w14:paraId="04A70999" w14:textId="77777777" w:rsidTr="00AA15A4">
        <w:trPr>
          <w:cantSplit/>
          <w:trHeight w:val="251"/>
        </w:trPr>
        <w:tc>
          <w:tcPr>
            <w:tcW w:w="2543" w:type="dxa"/>
            <w:gridSpan w:val="2"/>
            <w:vAlign w:val="center"/>
          </w:tcPr>
          <w:p w14:paraId="1F87E213" w14:textId="77777777" w:rsidR="00E1214E" w:rsidRDefault="00E1214E" w:rsidP="00CD56A0">
            <w:pPr>
              <w:keepLines/>
              <w:tabs>
                <w:tab w:val="left" w:pos="342"/>
              </w:tabs>
              <w:jc w:val="center"/>
              <w:rPr>
                <w:sz w:val="16"/>
                <w:szCs w:val="16"/>
              </w:rPr>
            </w:pPr>
            <w:r>
              <w:rPr>
                <w:sz w:val="16"/>
                <w:szCs w:val="16"/>
              </w:rPr>
              <w:t>Recommend publication or withdrawal following PPR (no unresolved objectors and no threat of legal action)</w:t>
            </w:r>
          </w:p>
        </w:tc>
        <w:tc>
          <w:tcPr>
            <w:tcW w:w="1530" w:type="dxa"/>
            <w:shd w:val="clear" w:color="auto" w:fill="auto"/>
            <w:vAlign w:val="center"/>
          </w:tcPr>
          <w:p w14:paraId="3AF8B6B7" w14:textId="77777777" w:rsidR="00E1214E" w:rsidRPr="009D7D50" w:rsidRDefault="00E1214E" w:rsidP="00CD56A0">
            <w:pPr>
              <w:keepLines/>
              <w:tabs>
                <w:tab w:val="left" w:pos="342"/>
              </w:tabs>
              <w:jc w:val="center"/>
              <w:rPr>
                <w:sz w:val="16"/>
                <w:szCs w:val="16"/>
              </w:rPr>
            </w:pPr>
            <w:r>
              <w:rPr>
                <w:sz w:val="16"/>
                <w:szCs w:val="16"/>
              </w:rPr>
              <w:t>PC or SRS #</w:t>
            </w:r>
          </w:p>
        </w:tc>
        <w:tc>
          <w:tcPr>
            <w:tcW w:w="1350" w:type="dxa"/>
            <w:shd w:val="clear" w:color="auto" w:fill="auto"/>
            <w:vAlign w:val="center"/>
          </w:tcPr>
          <w:p w14:paraId="72864CB7" w14:textId="77777777" w:rsidR="00E1214E" w:rsidRPr="009D7D50" w:rsidRDefault="00E1214E" w:rsidP="00CD56A0">
            <w:pPr>
              <w:jc w:val="center"/>
              <w:rPr>
                <w:sz w:val="16"/>
                <w:szCs w:val="16"/>
              </w:rPr>
            </w:pPr>
            <w:r>
              <w:rPr>
                <w:sz w:val="16"/>
                <w:szCs w:val="16"/>
              </w:rPr>
              <w:t>PC or SRS #</w:t>
            </w:r>
          </w:p>
        </w:tc>
        <w:tc>
          <w:tcPr>
            <w:tcW w:w="1260" w:type="dxa"/>
            <w:shd w:val="clear" w:color="auto" w:fill="auto"/>
            <w:vAlign w:val="center"/>
          </w:tcPr>
          <w:p w14:paraId="2539F833" w14:textId="77777777" w:rsidR="00E1214E" w:rsidRPr="009D7D50" w:rsidRDefault="00E1214E" w:rsidP="00CD56A0">
            <w:pPr>
              <w:jc w:val="center"/>
              <w:rPr>
                <w:strike/>
                <w:color w:val="FF0000"/>
                <w:sz w:val="16"/>
                <w:szCs w:val="16"/>
                <w:vertAlign w:val="superscript"/>
              </w:rPr>
            </w:pPr>
            <w:r>
              <w:rPr>
                <w:sz w:val="16"/>
                <w:szCs w:val="16"/>
              </w:rPr>
              <w:t>+Standards Action</w:t>
            </w:r>
          </w:p>
        </w:tc>
        <w:tc>
          <w:tcPr>
            <w:tcW w:w="1147" w:type="dxa"/>
            <w:shd w:val="clear" w:color="auto" w:fill="auto"/>
            <w:vAlign w:val="center"/>
          </w:tcPr>
          <w:p w14:paraId="3BF38FC6" w14:textId="77777777" w:rsidR="00E1214E" w:rsidRPr="009D7D50" w:rsidRDefault="00E1214E" w:rsidP="00CD56A0">
            <w:pPr>
              <w:jc w:val="center"/>
              <w:rPr>
                <w:sz w:val="16"/>
                <w:szCs w:val="16"/>
              </w:rPr>
            </w:pPr>
            <w:r>
              <w:rPr>
                <w:sz w:val="16"/>
                <w:szCs w:val="16"/>
              </w:rPr>
              <w:t>PC or SRS#</w:t>
            </w:r>
          </w:p>
        </w:tc>
        <w:tc>
          <w:tcPr>
            <w:tcW w:w="1193" w:type="dxa"/>
            <w:vAlign w:val="center"/>
          </w:tcPr>
          <w:p w14:paraId="09DF7134" w14:textId="77777777" w:rsidR="00E1214E" w:rsidRDefault="00E1214E" w:rsidP="00CD56A0">
            <w:pPr>
              <w:jc w:val="center"/>
              <w:rPr>
                <w:sz w:val="16"/>
                <w:szCs w:val="16"/>
              </w:rPr>
            </w:pPr>
            <w:r>
              <w:rPr>
                <w:sz w:val="16"/>
                <w:szCs w:val="16"/>
              </w:rPr>
              <w:t>+Standards Action</w:t>
            </w:r>
          </w:p>
        </w:tc>
        <w:tc>
          <w:tcPr>
            <w:tcW w:w="1147" w:type="dxa"/>
            <w:shd w:val="clear" w:color="auto" w:fill="auto"/>
            <w:vAlign w:val="center"/>
          </w:tcPr>
          <w:p w14:paraId="5C069C4C" w14:textId="77777777" w:rsidR="00E1214E" w:rsidRDefault="00E1214E" w:rsidP="00CD56A0">
            <w:pPr>
              <w:jc w:val="center"/>
              <w:rPr>
                <w:sz w:val="16"/>
                <w:szCs w:val="16"/>
              </w:rPr>
            </w:pPr>
          </w:p>
        </w:tc>
      </w:tr>
      <w:tr w:rsidR="00E1214E" w:rsidRPr="00817A9C" w14:paraId="6F083242" w14:textId="77777777" w:rsidTr="00AA15A4">
        <w:trPr>
          <w:cantSplit/>
        </w:trPr>
        <w:tc>
          <w:tcPr>
            <w:tcW w:w="10170" w:type="dxa"/>
            <w:gridSpan w:val="8"/>
            <w:shd w:val="clear" w:color="auto" w:fill="D9D9D9"/>
            <w:vAlign w:val="center"/>
          </w:tcPr>
          <w:p w14:paraId="1727DAF9" w14:textId="77777777" w:rsidR="00E1214E" w:rsidRPr="00817A9C" w:rsidRDefault="00E1214E" w:rsidP="00CD56A0">
            <w:pPr>
              <w:keepLines/>
              <w:tabs>
                <w:tab w:val="left" w:pos="342"/>
              </w:tabs>
              <w:jc w:val="center"/>
              <w:rPr>
                <w:b/>
                <w:sz w:val="16"/>
                <w:szCs w:val="16"/>
              </w:rPr>
            </w:pPr>
            <w:r w:rsidRPr="00817A9C">
              <w:rPr>
                <w:b/>
                <w:sz w:val="16"/>
                <w:szCs w:val="16"/>
              </w:rPr>
              <w:t>Appeal</w:t>
            </w:r>
          </w:p>
        </w:tc>
      </w:tr>
      <w:tr w:rsidR="00E1214E" w:rsidRPr="009D7D50" w14:paraId="35666BFF" w14:textId="77777777" w:rsidTr="00AA15A4">
        <w:trPr>
          <w:cantSplit/>
        </w:trPr>
        <w:tc>
          <w:tcPr>
            <w:tcW w:w="2543" w:type="dxa"/>
            <w:gridSpan w:val="2"/>
            <w:tcBorders>
              <w:bottom w:val="single" w:sz="4" w:space="0" w:color="auto"/>
            </w:tcBorders>
            <w:vAlign w:val="center"/>
          </w:tcPr>
          <w:p w14:paraId="287D09D6" w14:textId="77777777" w:rsidR="00E1214E" w:rsidRPr="009D7D50" w:rsidRDefault="00E1214E" w:rsidP="00CD56A0">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5FEF13F5" w14:textId="77777777" w:rsidR="00E1214E" w:rsidRPr="009D7D50" w:rsidRDefault="00E1214E" w:rsidP="00CD56A0">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71DD8733" w14:textId="77777777" w:rsidR="00E1214E" w:rsidRPr="00401732" w:rsidRDefault="00E1214E" w:rsidP="00CD56A0">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5A98B0A1" w14:textId="77777777" w:rsidR="00E1214E" w:rsidRPr="009D7D50" w:rsidRDefault="00E1214E" w:rsidP="00CD56A0">
            <w:pPr>
              <w:jc w:val="center"/>
              <w:rPr>
                <w:sz w:val="16"/>
                <w:szCs w:val="16"/>
              </w:rPr>
            </w:pPr>
          </w:p>
        </w:tc>
        <w:tc>
          <w:tcPr>
            <w:tcW w:w="1147" w:type="dxa"/>
            <w:tcBorders>
              <w:bottom w:val="single" w:sz="4" w:space="0" w:color="auto"/>
            </w:tcBorders>
            <w:shd w:val="clear" w:color="auto" w:fill="auto"/>
            <w:vAlign w:val="center"/>
          </w:tcPr>
          <w:p w14:paraId="2EBCE921" w14:textId="77777777" w:rsidR="00E1214E" w:rsidRPr="009D7D50" w:rsidRDefault="00E1214E" w:rsidP="00CD56A0">
            <w:pPr>
              <w:jc w:val="center"/>
              <w:rPr>
                <w:sz w:val="16"/>
                <w:szCs w:val="16"/>
              </w:rPr>
            </w:pPr>
            <w:r w:rsidRPr="009D7D50">
              <w:rPr>
                <w:sz w:val="16"/>
                <w:szCs w:val="16"/>
              </w:rPr>
              <w:t>Appeals Panel</w:t>
            </w:r>
          </w:p>
        </w:tc>
        <w:tc>
          <w:tcPr>
            <w:tcW w:w="1193" w:type="dxa"/>
            <w:tcBorders>
              <w:bottom w:val="single" w:sz="4" w:space="0" w:color="auto"/>
            </w:tcBorders>
            <w:vAlign w:val="center"/>
          </w:tcPr>
          <w:p w14:paraId="20486C42" w14:textId="77777777" w:rsidR="00E1214E" w:rsidRPr="009D7D50" w:rsidRDefault="00E1214E" w:rsidP="00CD56A0">
            <w:pPr>
              <w:jc w:val="center"/>
              <w:rPr>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156DEE94" w14:textId="77777777" w:rsidR="00E1214E" w:rsidRPr="009D7D50" w:rsidRDefault="00E1214E" w:rsidP="00CD56A0">
            <w:pPr>
              <w:jc w:val="center"/>
              <w:rPr>
                <w:sz w:val="16"/>
                <w:szCs w:val="16"/>
              </w:rPr>
            </w:pPr>
          </w:p>
        </w:tc>
      </w:tr>
      <w:tr w:rsidR="00E1214E" w:rsidRPr="009D7D50" w14:paraId="370227FA" w14:textId="77777777" w:rsidTr="00AA15A4">
        <w:trPr>
          <w:cantSplit/>
        </w:trPr>
        <w:tc>
          <w:tcPr>
            <w:tcW w:w="10170" w:type="dxa"/>
            <w:gridSpan w:val="8"/>
            <w:tcBorders>
              <w:bottom w:val="single" w:sz="4" w:space="0" w:color="auto"/>
            </w:tcBorders>
            <w:shd w:val="clear" w:color="auto" w:fill="D9D9D9"/>
            <w:vAlign w:val="center"/>
          </w:tcPr>
          <w:p w14:paraId="3549F35F" w14:textId="77777777" w:rsidR="00E1214E" w:rsidRDefault="00E1214E" w:rsidP="00CD56A0">
            <w:pPr>
              <w:keepLines/>
              <w:tabs>
                <w:tab w:val="left" w:pos="342"/>
              </w:tabs>
              <w:jc w:val="center"/>
              <w:rPr>
                <w:b/>
                <w:sz w:val="16"/>
                <w:szCs w:val="16"/>
              </w:rPr>
            </w:pPr>
            <w:r>
              <w:rPr>
                <w:b/>
                <w:sz w:val="16"/>
                <w:szCs w:val="16"/>
              </w:rPr>
              <w:t xml:space="preserve">Initiate Revision of </w:t>
            </w:r>
            <w:r w:rsidRPr="00817A9C">
              <w:rPr>
                <w:b/>
                <w:sz w:val="16"/>
                <w:szCs w:val="16"/>
              </w:rPr>
              <w:t>an Existing Standard</w:t>
            </w:r>
            <w:r w:rsidR="00AF36A1">
              <w:rPr>
                <w:b/>
                <w:sz w:val="16"/>
                <w:szCs w:val="16"/>
              </w:rPr>
              <w:t>,</w:t>
            </w:r>
            <w:r>
              <w:rPr>
                <w:b/>
                <w:sz w:val="16"/>
                <w:szCs w:val="16"/>
              </w:rPr>
              <w:t xml:space="preserve"> Guideline</w:t>
            </w:r>
            <w:r w:rsidR="00AF36A1">
              <w:rPr>
                <w:b/>
                <w:sz w:val="16"/>
                <w:szCs w:val="16"/>
              </w:rPr>
              <w:t xml:space="preserve"> or portion thereof</w:t>
            </w:r>
          </w:p>
          <w:p w14:paraId="710A6644" w14:textId="77777777" w:rsidR="00E1214E" w:rsidRPr="00817A9C" w:rsidRDefault="00E1214E" w:rsidP="00CD56A0">
            <w:pPr>
              <w:keepLines/>
              <w:tabs>
                <w:tab w:val="left" w:pos="342"/>
              </w:tabs>
              <w:jc w:val="center"/>
              <w:rPr>
                <w:b/>
                <w:sz w:val="16"/>
                <w:szCs w:val="16"/>
              </w:rPr>
            </w:pPr>
            <w:r>
              <w:rPr>
                <w:b/>
                <w:sz w:val="16"/>
                <w:szCs w:val="16"/>
              </w:rPr>
              <w:t>(when no PC exists for R/RA</w:t>
            </w:r>
            <w:r w:rsidR="009C5C8C">
              <w:rPr>
                <w:b/>
                <w:sz w:val="16"/>
                <w:szCs w:val="16"/>
              </w:rPr>
              <w:t>/</w:t>
            </w:r>
            <w:r>
              <w:rPr>
                <w:b/>
                <w:sz w:val="16"/>
                <w:szCs w:val="16"/>
              </w:rPr>
              <w:t>W)</w:t>
            </w:r>
          </w:p>
        </w:tc>
      </w:tr>
      <w:tr w:rsidR="00E1214E" w:rsidRPr="009D7D50" w14:paraId="0E35131F" w14:textId="77777777" w:rsidTr="00AA15A4">
        <w:trPr>
          <w:cantSplit/>
        </w:trPr>
        <w:tc>
          <w:tcPr>
            <w:tcW w:w="2543" w:type="dxa"/>
            <w:gridSpan w:val="2"/>
            <w:tcBorders>
              <w:bottom w:val="single" w:sz="4" w:space="0" w:color="auto"/>
            </w:tcBorders>
            <w:vAlign w:val="center"/>
          </w:tcPr>
          <w:p w14:paraId="68C48399" w14:textId="77777777" w:rsidR="00E1214E" w:rsidRPr="009D7D50" w:rsidRDefault="00E1214E" w:rsidP="00CD56A0">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55F9865B" w14:textId="77777777" w:rsidR="00E1214E" w:rsidRPr="009D7D50" w:rsidRDefault="00E1214E" w:rsidP="00CD56A0">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60A441F9" w14:textId="77777777" w:rsidR="00E1214E" w:rsidRPr="009D7D50" w:rsidRDefault="00E1214E" w:rsidP="00CD56A0">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1883E366" w14:textId="77777777" w:rsidR="00E1214E" w:rsidRPr="009D7D50" w:rsidRDefault="00E1214E" w:rsidP="00CD56A0">
            <w:pPr>
              <w:jc w:val="center"/>
              <w:rPr>
                <w:color w:val="000000"/>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16B76FC9" w14:textId="1A8CC2A7" w:rsidR="00E1214E" w:rsidRPr="00AA15A4" w:rsidRDefault="00641B64" w:rsidP="00CD56A0">
            <w:pPr>
              <w:jc w:val="center"/>
              <w:rPr>
                <w:strike/>
                <w:color w:val="000000"/>
                <w:sz w:val="16"/>
                <w:szCs w:val="16"/>
              </w:rPr>
            </w:pPr>
            <w:r w:rsidRPr="00AA15A4">
              <w:rPr>
                <w:color w:val="000000"/>
                <w:sz w:val="16"/>
                <w:szCs w:val="16"/>
              </w:rPr>
              <w:t>SRS</w:t>
            </w:r>
          </w:p>
        </w:tc>
        <w:tc>
          <w:tcPr>
            <w:tcW w:w="1193" w:type="dxa"/>
            <w:tcBorders>
              <w:bottom w:val="single" w:sz="4" w:space="0" w:color="auto"/>
            </w:tcBorders>
            <w:vAlign w:val="center"/>
          </w:tcPr>
          <w:p w14:paraId="1648408C" w14:textId="77777777" w:rsidR="00E1214E" w:rsidRDefault="00E1214E" w:rsidP="00CD56A0">
            <w:pPr>
              <w:jc w:val="center"/>
              <w:rPr>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6CE0FC1F" w14:textId="77777777" w:rsidR="00E1214E" w:rsidRDefault="00E1214E" w:rsidP="00CD56A0">
            <w:pPr>
              <w:jc w:val="center"/>
              <w:rPr>
                <w:sz w:val="16"/>
                <w:szCs w:val="16"/>
              </w:rPr>
            </w:pPr>
          </w:p>
        </w:tc>
      </w:tr>
      <w:tr w:rsidR="00A833A4" w:rsidRPr="009D7D50" w14:paraId="65C7D5BB" w14:textId="77777777" w:rsidTr="00AA15A4">
        <w:trPr>
          <w:cantSplit/>
        </w:trPr>
        <w:tc>
          <w:tcPr>
            <w:tcW w:w="2543" w:type="dxa"/>
            <w:gridSpan w:val="2"/>
            <w:tcBorders>
              <w:bottom w:val="single" w:sz="4" w:space="0" w:color="auto"/>
            </w:tcBorders>
            <w:vAlign w:val="center"/>
          </w:tcPr>
          <w:p w14:paraId="252B486E" w14:textId="77777777" w:rsidR="00A833A4" w:rsidRDefault="00A833A4" w:rsidP="00CD56A0">
            <w:pPr>
              <w:jc w:val="center"/>
              <w:rPr>
                <w:sz w:val="16"/>
                <w:szCs w:val="16"/>
              </w:rPr>
            </w:pPr>
            <w:r w:rsidRPr="00A833A4">
              <w:rPr>
                <w:sz w:val="16"/>
                <w:szCs w:val="16"/>
              </w:rPr>
              <w:t>Recommend revision within 5 year cycle</w:t>
            </w:r>
          </w:p>
        </w:tc>
        <w:tc>
          <w:tcPr>
            <w:tcW w:w="1530" w:type="dxa"/>
            <w:tcBorders>
              <w:bottom w:val="single" w:sz="4" w:space="0" w:color="auto"/>
            </w:tcBorders>
            <w:shd w:val="clear" w:color="auto" w:fill="auto"/>
            <w:vAlign w:val="center"/>
          </w:tcPr>
          <w:p w14:paraId="08867855" w14:textId="77777777" w:rsidR="00A833A4" w:rsidRPr="00BA3094" w:rsidRDefault="00A833A4" w:rsidP="00CD56A0">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29C31C96" w14:textId="77777777" w:rsidR="00A833A4" w:rsidRDefault="00A833A4" w:rsidP="00CD56A0">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3D2C79D0" w14:textId="77777777" w:rsidR="00A833A4" w:rsidRDefault="00A833A4" w:rsidP="00CD56A0">
            <w:pPr>
              <w:jc w:val="center"/>
              <w:rPr>
                <w:color w:val="000000"/>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6E49F9CD" w14:textId="77777777" w:rsidR="00A833A4" w:rsidRDefault="00A833A4" w:rsidP="00CD56A0">
            <w:pPr>
              <w:jc w:val="center"/>
              <w:rPr>
                <w:color w:val="000000"/>
                <w:sz w:val="16"/>
                <w:szCs w:val="16"/>
              </w:rPr>
            </w:pPr>
            <w:r>
              <w:rPr>
                <w:color w:val="000000"/>
                <w:sz w:val="16"/>
                <w:szCs w:val="16"/>
              </w:rPr>
              <w:t>SSPC/SGPC</w:t>
            </w:r>
          </w:p>
        </w:tc>
        <w:tc>
          <w:tcPr>
            <w:tcW w:w="1193" w:type="dxa"/>
            <w:tcBorders>
              <w:bottom w:val="single" w:sz="4" w:space="0" w:color="auto"/>
            </w:tcBorders>
            <w:vAlign w:val="center"/>
          </w:tcPr>
          <w:p w14:paraId="27011420" w14:textId="77777777" w:rsidR="00A833A4" w:rsidRDefault="00A833A4" w:rsidP="00CD56A0">
            <w:pPr>
              <w:jc w:val="center"/>
              <w:rPr>
                <w:color w:val="000000"/>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6F6DE3C4" w14:textId="77777777" w:rsidR="00A833A4" w:rsidRDefault="00A833A4" w:rsidP="00CD56A0">
            <w:pPr>
              <w:jc w:val="center"/>
              <w:rPr>
                <w:sz w:val="16"/>
                <w:szCs w:val="16"/>
              </w:rPr>
            </w:pPr>
          </w:p>
        </w:tc>
      </w:tr>
      <w:tr w:rsidR="00E1214E" w:rsidRPr="009D7D50" w14:paraId="492BAD96" w14:textId="77777777" w:rsidTr="00AA15A4">
        <w:trPr>
          <w:cantSplit/>
        </w:trPr>
        <w:tc>
          <w:tcPr>
            <w:tcW w:w="10170" w:type="dxa"/>
            <w:gridSpan w:val="8"/>
            <w:tcBorders>
              <w:bottom w:val="single" w:sz="4" w:space="0" w:color="auto"/>
            </w:tcBorders>
            <w:shd w:val="clear" w:color="auto" w:fill="D9D9D9"/>
            <w:vAlign w:val="center"/>
          </w:tcPr>
          <w:p w14:paraId="3E5F46C4" w14:textId="77777777" w:rsidR="00E1214E" w:rsidRDefault="00E1214E" w:rsidP="00CD56A0">
            <w:pPr>
              <w:jc w:val="center"/>
              <w:rPr>
                <w:b/>
                <w:sz w:val="16"/>
                <w:szCs w:val="16"/>
              </w:rPr>
            </w:pPr>
            <w:r>
              <w:rPr>
                <w:b/>
                <w:sz w:val="16"/>
                <w:szCs w:val="16"/>
              </w:rPr>
              <w:t xml:space="preserve">Initiate </w:t>
            </w:r>
            <w:r w:rsidR="00AF36A1">
              <w:rPr>
                <w:b/>
                <w:sz w:val="16"/>
                <w:szCs w:val="16"/>
              </w:rPr>
              <w:t xml:space="preserve"> Revision or </w:t>
            </w:r>
            <w:r>
              <w:rPr>
                <w:b/>
                <w:sz w:val="16"/>
                <w:szCs w:val="16"/>
              </w:rPr>
              <w:t>Reaffirmation of an Existing Standard</w:t>
            </w:r>
            <w:r w:rsidR="00AF36A1">
              <w:rPr>
                <w:b/>
                <w:sz w:val="16"/>
                <w:szCs w:val="16"/>
              </w:rPr>
              <w:t>,</w:t>
            </w:r>
            <w:r>
              <w:rPr>
                <w:b/>
                <w:sz w:val="16"/>
                <w:szCs w:val="16"/>
              </w:rPr>
              <w:t xml:space="preserve"> Guideline</w:t>
            </w:r>
            <w:r w:rsidR="00AF36A1">
              <w:rPr>
                <w:b/>
                <w:sz w:val="16"/>
                <w:szCs w:val="16"/>
              </w:rPr>
              <w:t xml:space="preserve"> or portion thereof</w:t>
            </w:r>
          </w:p>
          <w:p w14:paraId="682AB341" w14:textId="77777777" w:rsidR="00E1214E" w:rsidRDefault="00E1214E" w:rsidP="00CD56A0">
            <w:pPr>
              <w:jc w:val="center"/>
              <w:rPr>
                <w:b/>
                <w:sz w:val="16"/>
                <w:szCs w:val="16"/>
              </w:rPr>
            </w:pPr>
            <w:r>
              <w:rPr>
                <w:b/>
                <w:sz w:val="16"/>
                <w:szCs w:val="16"/>
              </w:rPr>
              <w:t>(when a PC exists)</w:t>
            </w:r>
          </w:p>
        </w:tc>
      </w:tr>
      <w:tr w:rsidR="0005699C" w:rsidRPr="009D7D50" w14:paraId="2C5A9D8E" w14:textId="77777777" w:rsidTr="00AA15A4">
        <w:trPr>
          <w:cantSplit/>
        </w:trPr>
        <w:tc>
          <w:tcPr>
            <w:tcW w:w="2543" w:type="dxa"/>
            <w:gridSpan w:val="2"/>
            <w:tcBorders>
              <w:bottom w:val="single" w:sz="4" w:space="0" w:color="auto"/>
            </w:tcBorders>
            <w:vAlign w:val="center"/>
          </w:tcPr>
          <w:p w14:paraId="2BAF3FB1" w14:textId="77777777" w:rsidR="0005699C" w:rsidRDefault="0005699C" w:rsidP="00CD56A0">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7D2B27DD" w14:textId="77777777" w:rsidR="0005699C" w:rsidRDefault="0005699C" w:rsidP="00CD56A0">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7BA53CD2" w14:textId="77777777" w:rsidR="0005699C" w:rsidRDefault="0005699C" w:rsidP="00CD56A0">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0D1B4817" w14:textId="77777777" w:rsidR="0005699C" w:rsidRDefault="0005699C" w:rsidP="00CD56A0">
            <w:pPr>
              <w:jc w:val="center"/>
              <w:rPr>
                <w:color w:val="000000"/>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6AA9614F" w14:textId="77777777" w:rsidR="0005699C" w:rsidRDefault="0005699C" w:rsidP="00CD56A0">
            <w:pPr>
              <w:jc w:val="center"/>
              <w:rPr>
                <w:sz w:val="16"/>
                <w:szCs w:val="16"/>
              </w:rPr>
            </w:pPr>
            <w:r>
              <w:rPr>
                <w:sz w:val="16"/>
                <w:szCs w:val="16"/>
              </w:rPr>
              <w:t>SSPC/SG</w:t>
            </w:r>
            <w:r w:rsidR="002E14B4">
              <w:rPr>
                <w:sz w:val="16"/>
                <w:szCs w:val="16"/>
              </w:rPr>
              <w:t>P</w:t>
            </w:r>
            <w:r>
              <w:rPr>
                <w:sz w:val="16"/>
                <w:szCs w:val="16"/>
              </w:rPr>
              <w:t>C</w:t>
            </w:r>
          </w:p>
        </w:tc>
        <w:tc>
          <w:tcPr>
            <w:tcW w:w="1193" w:type="dxa"/>
            <w:tcBorders>
              <w:bottom w:val="single" w:sz="4" w:space="0" w:color="auto"/>
            </w:tcBorders>
            <w:vAlign w:val="center"/>
          </w:tcPr>
          <w:p w14:paraId="7F07146C" w14:textId="77777777" w:rsidR="0005699C" w:rsidRDefault="0005699C" w:rsidP="00CD56A0">
            <w:pPr>
              <w:jc w:val="center"/>
              <w:rPr>
                <w:color w:val="000000"/>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4DA775AF" w14:textId="77777777" w:rsidR="0005699C" w:rsidRPr="004C6CDA" w:rsidRDefault="0005699C" w:rsidP="00CD56A0">
            <w:pPr>
              <w:jc w:val="center"/>
              <w:rPr>
                <w:sz w:val="16"/>
                <w:szCs w:val="16"/>
              </w:rPr>
            </w:pPr>
          </w:p>
        </w:tc>
      </w:tr>
      <w:tr w:rsidR="00E1214E" w:rsidRPr="009D7D50" w14:paraId="4B5B0E6C" w14:textId="77777777" w:rsidTr="00AA15A4">
        <w:trPr>
          <w:cantSplit/>
        </w:trPr>
        <w:tc>
          <w:tcPr>
            <w:tcW w:w="2543" w:type="dxa"/>
            <w:gridSpan w:val="2"/>
            <w:tcBorders>
              <w:bottom w:val="single" w:sz="4" w:space="0" w:color="auto"/>
            </w:tcBorders>
            <w:vAlign w:val="center"/>
          </w:tcPr>
          <w:p w14:paraId="2B5B2867" w14:textId="77777777" w:rsidR="00E1214E" w:rsidRPr="004C6CDA" w:rsidRDefault="00E1214E" w:rsidP="00CD56A0">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329CCC2" w14:textId="77777777" w:rsidR="00E1214E" w:rsidRPr="004C6CDA" w:rsidRDefault="00E1214E" w:rsidP="00CD56A0">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55A12A68" w14:textId="77777777" w:rsidR="00E1214E" w:rsidRPr="004C6CDA" w:rsidRDefault="00E1214E" w:rsidP="00CD56A0">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22E4C242" w14:textId="77777777" w:rsidR="00E1214E" w:rsidRPr="004C6CDA" w:rsidRDefault="00E1214E" w:rsidP="00CD56A0">
            <w:pPr>
              <w:jc w:val="center"/>
              <w:rPr>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3CFD15B9" w14:textId="77777777" w:rsidR="00E1214E" w:rsidRPr="004C6CDA" w:rsidRDefault="00E1214E" w:rsidP="00CD56A0">
            <w:pPr>
              <w:jc w:val="center"/>
              <w:rPr>
                <w:sz w:val="16"/>
                <w:szCs w:val="16"/>
              </w:rPr>
            </w:pPr>
            <w:proofErr w:type="spellStart"/>
            <w:r>
              <w:rPr>
                <w:sz w:val="16"/>
                <w:szCs w:val="16"/>
              </w:rPr>
              <w:t>S</w:t>
            </w:r>
            <w:r w:rsidR="009C5C8C">
              <w:rPr>
                <w:sz w:val="16"/>
                <w:szCs w:val="16"/>
              </w:rPr>
              <w:t>td</w:t>
            </w:r>
            <w:r>
              <w:rPr>
                <w:sz w:val="16"/>
                <w:szCs w:val="16"/>
              </w:rPr>
              <w:t>C</w:t>
            </w:r>
            <w:proofErr w:type="spellEnd"/>
          </w:p>
        </w:tc>
        <w:tc>
          <w:tcPr>
            <w:tcW w:w="1193" w:type="dxa"/>
            <w:tcBorders>
              <w:bottom w:val="single" w:sz="4" w:space="0" w:color="auto"/>
            </w:tcBorders>
            <w:vAlign w:val="center"/>
          </w:tcPr>
          <w:p w14:paraId="54373971" w14:textId="77777777" w:rsidR="00E1214E" w:rsidRPr="004C6CDA" w:rsidRDefault="00E1214E" w:rsidP="00CD56A0">
            <w:pPr>
              <w:jc w:val="center"/>
              <w:rPr>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65A378B8" w14:textId="77777777" w:rsidR="00E1214E" w:rsidRPr="004C6CDA" w:rsidRDefault="00E1214E" w:rsidP="00CD56A0">
            <w:pPr>
              <w:jc w:val="center"/>
              <w:rPr>
                <w:sz w:val="16"/>
                <w:szCs w:val="16"/>
              </w:rPr>
            </w:pPr>
          </w:p>
        </w:tc>
      </w:tr>
      <w:tr w:rsidR="00E1214E" w:rsidRPr="009D7D50" w14:paraId="279AC574" w14:textId="77777777" w:rsidTr="00AA15A4">
        <w:trPr>
          <w:cantSplit/>
        </w:trPr>
        <w:tc>
          <w:tcPr>
            <w:tcW w:w="10170" w:type="dxa"/>
            <w:gridSpan w:val="8"/>
            <w:tcBorders>
              <w:bottom w:val="single" w:sz="4" w:space="0" w:color="auto"/>
            </w:tcBorders>
            <w:shd w:val="clear" w:color="auto" w:fill="D9D9D9"/>
            <w:vAlign w:val="center"/>
          </w:tcPr>
          <w:p w14:paraId="7F452E6E" w14:textId="77777777" w:rsidR="00E1214E" w:rsidRDefault="00E1214E" w:rsidP="00CD56A0">
            <w:pPr>
              <w:jc w:val="center"/>
              <w:rPr>
                <w:b/>
                <w:sz w:val="16"/>
                <w:szCs w:val="16"/>
              </w:rPr>
            </w:pPr>
            <w:r>
              <w:rPr>
                <w:b/>
                <w:sz w:val="16"/>
                <w:szCs w:val="16"/>
              </w:rPr>
              <w:t>Initiate Reaffirmation of an Existing Standard</w:t>
            </w:r>
            <w:r w:rsidR="00AF36A1">
              <w:rPr>
                <w:b/>
                <w:sz w:val="16"/>
                <w:szCs w:val="16"/>
              </w:rPr>
              <w:t>,</w:t>
            </w:r>
            <w:r>
              <w:rPr>
                <w:b/>
                <w:sz w:val="16"/>
                <w:szCs w:val="16"/>
              </w:rPr>
              <w:t xml:space="preserve"> Guideline</w:t>
            </w:r>
            <w:r w:rsidR="00AF36A1">
              <w:rPr>
                <w:b/>
                <w:sz w:val="16"/>
                <w:szCs w:val="16"/>
              </w:rPr>
              <w:t xml:space="preserve"> or portion thereof</w:t>
            </w:r>
          </w:p>
          <w:p w14:paraId="1C133311" w14:textId="77777777" w:rsidR="00E1214E" w:rsidRDefault="00E1214E" w:rsidP="00CD56A0">
            <w:pPr>
              <w:jc w:val="center"/>
              <w:rPr>
                <w:b/>
                <w:sz w:val="16"/>
                <w:szCs w:val="16"/>
              </w:rPr>
            </w:pPr>
            <w:r>
              <w:rPr>
                <w:b/>
                <w:sz w:val="16"/>
                <w:szCs w:val="16"/>
              </w:rPr>
              <w:t>(when no PC exists)</w:t>
            </w:r>
          </w:p>
        </w:tc>
      </w:tr>
      <w:tr w:rsidR="00E1214E" w:rsidRPr="009D7D50" w14:paraId="79A58197" w14:textId="77777777" w:rsidTr="00AA15A4">
        <w:trPr>
          <w:cantSplit/>
        </w:trPr>
        <w:tc>
          <w:tcPr>
            <w:tcW w:w="2543" w:type="dxa"/>
            <w:gridSpan w:val="2"/>
            <w:tcBorders>
              <w:bottom w:val="single" w:sz="4" w:space="0" w:color="auto"/>
            </w:tcBorders>
            <w:vAlign w:val="center"/>
          </w:tcPr>
          <w:p w14:paraId="7795C868" w14:textId="77777777" w:rsidR="00E1214E" w:rsidRPr="000C792E" w:rsidRDefault="00E1214E" w:rsidP="00CD56A0">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483632BF" w14:textId="77777777" w:rsidR="00E1214E" w:rsidRDefault="00E1214E" w:rsidP="00CD56A0">
            <w:pPr>
              <w:jc w:val="center"/>
              <w:rPr>
                <w:b/>
                <w:sz w:val="16"/>
                <w:szCs w:val="16"/>
              </w:rPr>
            </w:pPr>
            <w:r w:rsidRPr="00BA3094">
              <w:rPr>
                <w:sz w:val="16"/>
                <w:szCs w:val="16"/>
              </w:rPr>
              <w:t>TC/TG/TRG</w:t>
            </w:r>
          </w:p>
        </w:tc>
        <w:tc>
          <w:tcPr>
            <w:tcW w:w="1350" w:type="dxa"/>
            <w:tcBorders>
              <w:bottom w:val="single" w:sz="4" w:space="0" w:color="auto"/>
            </w:tcBorders>
            <w:vAlign w:val="center"/>
          </w:tcPr>
          <w:p w14:paraId="624591B1" w14:textId="77777777" w:rsidR="00E1214E" w:rsidRDefault="00E1214E" w:rsidP="00CD56A0">
            <w:pPr>
              <w:jc w:val="center"/>
              <w:rPr>
                <w:b/>
                <w:sz w:val="16"/>
                <w:szCs w:val="16"/>
              </w:rPr>
            </w:pPr>
            <w:r w:rsidRPr="00BA3094">
              <w:rPr>
                <w:sz w:val="16"/>
                <w:szCs w:val="16"/>
              </w:rPr>
              <w:t>TC/TG/TRG</w:t>
            </w:r>
          </w:p>
        </w:tc>
        <w:tc>
          <w:tcPr>
            <w:tcW w:w="1260" w:type="dxa"/>
            <w:tcBorders>
              <w:bottom w:val="single" w:sz="4" w:space="0" w:color="auto"/>
            </w:tcBorders>
            <w:vAlign w:val="center"/>
          </w:tcPr>
          <w:p w14:paraId="21F31802" w14:textId="77777777" w:rsidR="00E1214E" w:rsidRDefault="00E1214E" w:rsidP="00CD56A0">
            <w:pPr>
              <w:jc w:val="center"/>
              <w:rPr>
                <w:b/>
                <w:sz w:val="16"/>
                <w:szCs w:val="16"/>
              </w:rPr>
            </w:pPr>
            <w:r>
              <w:rPr>
                <w:color w:val="000000"/>
                <w:sz w:val="16"/>
                <w:szCs w:val="16"/>
              </w:rPr>
              <w:t>*Majority</w:t>
            </w:r>
          </w:p>
        </w:tc>
        <w:tc>
          <w:tcPr>
            <w:tcW w:w="1147" w:type="dxa"/>
            <w:tcBorders>
              <w:bottom w:val="single" w:sz="4" w:space="0" w:color="auto"/>
            </w:tcBorders>
            <w:vAlign w:val="center"/>
          </w:tcPr>
          <w:p w14:paraId="05ECBD00" w14:textId="77777777" w:rsidR="00E1214E" w:rsidRPr="000C792E" w:rsidRDefault="00E1214E" w:rsidP="00CD56A0">
            <w:pPr>
              <w:jc w:val="center"/>
              <w:rPr>
                <w:sz w:val="16"/>
                <w:szCs w:val="16"/>
              </w:rPr>
            </w:pPr>
            <w:r w:rsidRPr="000C792E">
              <w:rPr>
                <w:sz w:val="16"/>
                <w:szCs w:val="16"/>
              </w:rPr>
              <w:t>SRS</w:t>
            </w:r>
          </w:p>
        </w:tc>
        <w:tc>
          <w:tcPr>
            <w:tcW w:w="1193" w:type="dxa"/>
            <w:tcBorders>
              <w:bottom w:val="single" w:sz="4" w:space="0" w:color="auto"/>
            </w:tcBorders>
            <w:vAlign w:val="center"/>
          </w:tcPr>
          <w:p w14:paraId="661B6C49" w14:textId="77777777" w:rsidR="00E1214E" w:rsidRPr="000C792E" w:rsidRDefault="00E1214E" w:rsidP="00CD56A0">
            <w:pPr>
              <w:jc w:val="center"/>
              <w:rPr>
                <w:sz w:val="16"/>
                <w:szCs w:val="16"/>
              </w:rPr>
            </w:pPr>
            <w:r w:rsidRPr="000C792E">
              <w:rPr>
                <w:sz w:val="16"/>
                <w:szCs w:val="16"/>
              </w:rPr>
              <w:t>Majority</w:t>
            </w:r>
          </w:p>
        </w:tc>
        <w:tc>
          <w:tcPr>
            <w:tcW w:w="1147" w:type="dxa"/>
            <w:tcBorders>
              <w:bottom w:val="single" w:sz="4" w:space="0" w:color="auto"/>
            </w:tcBorders>
            <w:vAlign w:val="center"/>
          </w:tcPr>
          <w:p w14:paraId="45160AB4" w14:textId="77777777" w:rsidR="00E1214E" w:rsidRDefault="00E1214E" w:rsidP="00CD56A0">
            <w:pPr>
              <w:jc w:val="center"/>
              <w:rPr>
                <w:b/>
                <w:sz w:val="16"/>
                <w:szCs w:val="16"/>
              </w:rPr>
            </w:pPr>
          </w:p>
        </w:tc>
      </w:tr>
      <w:tr w:rsidR="00420FFA" w:rsidRPr="009D7D50" w14:paraId="31B1673C" w14:textId="77777777" w:rsidTr="00AA15A4">
        <w:trPr>
          <w:cantSplit/>
        </w:trPr>
        <w:tc>
          <w:tcPr>
            <w:tcW w:w="10170" w:type="dxa"/>
            <w:gridSpan w:val="8"/>
            <w:tcBorders>
              <w:bottom w:val="single" w:sz="4" w:space="0" w:color="auto"/>
            </w:tcBorders>
            <w:shd w:val="clear" w:color="auto" w:fill="D9D9D9"/>
            <w:vAlign w:val="center"/>
          </w:tcPr>
          <w:p w14:paraId="5D6974C4" w14:textId="77777777" w:rsidR="00420FFA" w:rsidRPr="0077285C" w:rsidRDefault="00420FFA" w:rsidP="00420FFA">
            <w:pPr>
              <w:jc w:val="center"/>
              <w:rPr>
                <w:b/>
                <w:sz w:val="16"/>
                <w:szCs w:val="16"/>
              </w:rPr>
            </w:pPr>
            <w:bookmarkStart w:id="38" w:name="_Hlk38369693"/>
            <w:r>
              <w:rPr>
                <w:b/>
                <w:sz w:val="16"/>
                <w:szCs w:val="16"/>
              </w:rPr>
              <w:t>Withdraw an Existing Standard or Guideline</w:t>
            </w:r>
          </w:p>
        </w:tc>
      </w:tr>
      <w:bookmarkEnd w:id="38"/>
      <w:tr w:rsidR="00420FFA" w:rsidRPr="009D7D50" w14:paraId="3CAAE7C1" w14:textId="77777777" w:rsidTr="00AA15A4">
        <w:trPr>
          <w:cantSplit/>
        </w:trPr>
        <w:tc>
          <w:tcPr>
            <w:tcW w:w="2543" w:type="dxa"/>
            <w:gridSpan w:val="2"/>
            <w:tcBorders>
              <w:bottom w:val="single" w:sz="4" w:space="0" w:color="auto"/>
            </w:tcBorders>
            <w:vAlign w:val="center"/>
          </w:tcPr>
          <w:p w14:paraId="7DD22F13" w14:textId="77777777" w:rsidR="00420FFA" w:rsidRDefault="00420FFA" w:rsidP="00420FFA">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0364FAA5" w14:textId="77777777" w:rsidR="00420FFA" w:rsidRPr="004C6CDA" w:rsidRDefault="00420FFA" w:rsidP="00420FFA">
            <w:pPr>
              <w:jc w:val="center"/>
              <w:rPr>
                <w:sz w:val="16"/>
                <w:szCs w:val="16"/>
              </w:rPr>
            </w:pPr>
            <w:r w:rsidRPr="002C75F6">
              <w:rPr>
                <w:sz w:val="16"/>
                <w:szCs w:val="16"/>
              </w:rPr>
              <w:t>TC/TG/TRG</w:t>
            </w:r>
            <w:r>
              <w:rPr>
                <w:sz w:val="16"/>
                <w:szCs w:val="16"/>
              </w:rPr>
              <w:t xml:space="preserve"> or PC</w:t>
            </w:r>
          </w:p>
        </w:tc>
        <w:tc>
          <w:tcPr>
            <w:tcW w:w="1350" w:type="dxa"/>
            <w:tcBorders>
              <w:bottom w:val="single" w:sz="4" w:space="0" w:color="auto"/>
            </w:tcBorders>
            <w:shd w:val="clear" w:color="auto" w:fill="auto"/>
            <w:vAlign w:val="center"/>
          </w:tcPr>
          <w:p w14:paraId="53F04077" w14:textId="77777777" w:rsidR="00420FFA" w:rsidRPr="004C6CDA" w:rsidRDefault="00420FFA" w:rsidP="00420FFA">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42E5FBBC" w14:textId="77777777" w:rsidR="00420FFA" w:rsidRDefault="00420FFA" w:rsidP="00420FFA">
            <w:pPr>
              <w:jc w:val="center"/>
              <w:rPr>
                <w:color w:val="000000"/>
                <w:sz w:val="16"/>
                <w:szCs w:val="16"/>
              </w:rPr>
            </w:pPr>
            <w:r>
              <w:rPr>
                <w:sz w:val="16"/>
                <w:szCs w:val="16"/>
              </w:rPr>
              <w:t>+Standards Action</w:t>
            </w:r>
          </w:p>
        </w:tc>
        <w:tc>
          <w:tcPr>
            <w:tcW w:w="1147" w:type="dxa"/>
            <w:tcBorders>
              <w:bottom w:val="single" w:sz="4" w:space="0" w:color="auto"/>
            </w:tcBorders>
            <w:shd w:val="clear" w:color="auto" w:fill="auto"/>
            <w:vAlign w:val="center"/>
          </w:tcPr>
          <w:p w14:paraId="0BF7215C" w14:textId="77777777" w:rsidR="00420FFA" w:rsidRDefault="00420FFA" w:rsidP="00420FFA">
            <w:pPr>
              <w:jc w:val="center"/>
              <w:rPr>
                <w:sz w:val="16"/>
                <w:szCs w:val="16"/>
              </w:rPr>
            </w:pPr>
            <w:r>
              <w:rPr>
                <w:sz w:val="16"/>
                <w:szCs w:val="16"/>
              </w:rPr>
              <w:t>SRS</w:t>
            </w:r>
          </w:p>
        </w:tc>
        <w:tc>
          <w:tcPr>
            <w:tcW w:w="1193" w:type="dxa"/>
            <w:tcBorders>
              <w:bottom w:val="single" w:sz="4" w:space="0" w:color="auto"/>
            </w:tcBorders>
            <w:vAlign w:val="center"/>
          </w:tcPr>
          <w:p w14:paraId="22C77388" w14:textId="77777777" w:rsidR="00420FFA" w:rsidRDefault="00420FFA" w:rsidP="00420FFA">
            <w:pPr>
              <w:jc w:val="center"/>
              <w:rPr>
                <w:color w:val="000000"/>
                <w:sz w:val="16"/>
                <w:szCs w:val="16"/>
              </w:rPr>
            </w:pPr>
            <w:r>
              <w:rPr>
                <w:sz w:val="16"/>
                <w:szCs w:val="16"/>
              </w:rPr>
              <w:t>*Majority</w:t>
            </w:r>
          </w:p>
        </w:tc>
        <w:tc>
          <w:tcPr>
            <w:tcW w:w="1147" w:type="dxa"/>
            <w:tcBorders>
              <w:bottom w:val="single" w:sz="4" w:space="0" w:color="auto"/>
            </w:tcBorders>
            <w:shd w:val="clear" w:color="auto" w:fill="auto"/>
            <w:vAlign w:val="center"/>
          </w:tcPr>
          <w:p w14:paraId="58A7E938" w14:textId="77777777" w:rsidR="00420FFA" w:rsidRPr="004C6CDA" w:rsidRDefault="00420FFA" w:rsidP="00420FFA">
            <w:pPr>
              <w:jc w:val="center"/>
              <w:rPr>
                <w:sz w:val="16"/>
                <w:szCs w:val="16"/>
              </w:rPr>
            </w:pPr>
          </w:p>
        </w:tc>
      </w:tr>
      <w:tr w:rsidR="00420FFA" w:rsidRPr="009D7D50" w14:paraId="5392DB1B" w14:textId="77777777" w:rsidTr="00AA15A4">
        <w:trPr>
          <w:cantSplit/>
        </w:trPr>
        <w:tc>
          <w:tcPr>
            <w:tcW w:w="10170" w:type="dxa"/>
            <w:gridSpan w:val="8"/>
            <w:tcBorders>
              <w:bottom w:val="single" w:sz="4" w:space="0" w:color="auto"/>
            </w:tcBorders>
            <w:shd w:val="clear" w:color="auto" w:fill="D9D9D9"/>
            <w:vAlign w:val="center"/>
          </w:tcPr>
          <w:p w14:paraId="0389ABDC" w14:textId="77777777" w:rsidR="00420FFA" w:rsidRDefault="00420FFA" w:rsidP="00420FFA">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420FFA" w:rsidRPr="009D7D50" w14:paraId="6206F445" w14:textId="77777777" w:rsidTr="00AA15A4">
        <w:trPr>
          <w:cantSplit/>
        </w:trPr>
        <w:tc>
          <w:tcPr>
            <w:tcW w:w="2543" w:type="dxa"/>
            <w:gridSpan w:val="2"/>
            <w:tcBorders>
              <w:bottom w:val="single" w:sz="4" w:space="0" w:color="auto"/>
            </w:tcBorders>
            <w:vAlign w:val="center"/>
          </w:tcPr>
          <w:p w14:paraId="1650D6A6" w14:textId="77777777" w:rsidR="00420FFA" w:rsidRPr="009D7D50" w:rsidRDefault="00420FFA" w:rsidP="00420FFA">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364768C9" w14:textId="77777777" w:rsidR="00420FFA" w:rsidRPr="009D7D50" w:rsidRDefault="00420FFA" w:rsidP="00420FFA">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6C8BAF9F" w14:textId="77777777" w:rsidR="00420FFA" w:rsidRPr="009D7D50" w:rsidRDefault="00420FFA" w:rsidP="00420FFA">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5DD6757" w14:textId="77777777" w:rsidR="00420FFA" w:rsidRPr="009D7D50" w:rsidRDefault="00420FFA" w:rsidP="00420FFA">
            <w:pPr>
              <w:tabs>
                <w:tab w:val="left" w:pos="342"/>
              </w:tabs>
              <w:jc w:val="center"/>
              <w:rPr>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59D242C1" w14:textId="77777777" w:rsidR="00420FFA" w:rsidRPr="009D7D50" w:rsidRDefault="00420FFA" w:rsidP="00420FFA">
            <w:pPr>
              <w:tabs>
                <w:tab w:val="left" w:pos="342"/>
              </w:tabs>
              <w:jc w:val="center"/>
              <w:rPr>
                <w:sz w:val="16"/>
                <w:szCs w:val="16"/>
              </w:rPr>
            </w:pPr>
            <w:proofErr w:type="spellStart"/>
            <w:r w:rsidRPr="009D7D50">
              <w:rPr>
                <w:sz w:val="16"/>
                <w:szCs w:val="16"/>
              </w:rPr>
              <w:t>StdC</w:t>
            </w:r>
            <w:proofErr w:type="spellEnd"/>
          </w:p>
        </w:tc>
        <w:tc>
          <w:tcPr>
            <w:tcW w:w="1193" w:type="dxa"/>
            <w:tcBorders>
              <w:bottom w:val="single" w:sz="4" w:space="0" w:color="auto"/>
            </w:tcBorders>
            <w:vAlign w:val="center"/>
          </w:tcPr>
          <w:p w14:paraId="7257D142" w14:textId="77777777" w:rsidR="00420FFA" w:rsidRPr="009D7D50" w:rsidRDefault="00420FFA" w:rsidP="00420FFA">
            <w:pPr>
              <w:tabs>
                <w:tab w:val="left" w:pos="342"/>
              </w:tabs>
              <w:jc w:val="center"/>
              <w:rPr>
                <w:sz w:val="16"/>
                <w:szCs w:val="16"/>
              </w:rPr>
            </w:pPr>
            <w:r>
              <w:rPr>
                <w:color w:val="000000"/>
                <w:sz w:val="16"/>
                <w:szCs w:val="16"/>
              </w:rPr>
              <w:t>*Majority</w:t>
            </w:r>
          </w:p>
        </w:tc>
        <w:tc>
          <w:tcPr>
            <w:tcW w:w="1147" w:type="dxa"/>
            <w:tcBorders>
              <w:bottom w:val="single" w:sz="4" w:space="0" w:color="auto"/>
            </w:tcBorders>
            <w:shd w:val="clear" w:color="auto" w:fill="auto"/>
            <w:vAlign w:val="center"/>
          </w:tcPr>
          <w:p w14:paraId="2E03C771" w14:textId="77777777" w:rsidR="00420FFA" w:rsidRPr="009D7D50" w:rsidRDefault="00420FFA" w:rsidP="00420FFA">
            <w:pPr>
              <w:tabs>
                <w:tab w:val="left" w:pos="342"/>
              </w:tabs>
              <w:jc w:val="center"/>
              <w:rPr>
                <w:sz w:val="16"/>
                <w:szCs w:val="16"/>
              </w:rPr>
            </w:pPr>
          </w:p>
        </w:tc>
      </w:tr>
      <w:tr w:rsidR="00420FFA" w:rsidRPr="009D7D50" w14:paraId="0A1BF109" w14:textId="77777777" w:rsidTr="00AA15A4">
        <w:trPr>
          <w:cantSplit/>
          <w:trHeight w:val="134"/>
        </w:trPr>
        <w:tc>
          <w:tcPr>
            <w:tcW w:w="10170" w:type="dxa"/>
            <w:gridSpan w:val="8"/>
            <w:shd w:val="clear" w:color="auto" w:fill="D9D9D9"/>
            <w:vAlign w:val="center"/>
          </w:tcPr>
          <w:p w14:paraId="3FD5DA13" w14:textId="77777777" w:rsidR="00420FFA" w:rsidRPr="007C7959" w:rsidRDefault="00420FFA" w:rsidP="00420FFA">
            <w:pPr>
              <w:keepLines/>
              <w:tabs>
                <w:tab w:val="left" w:pos="342"/>
              </w:tabs>
              <w:jc w:val="center"/>
              <w:rPr>
                <w:b/>
                <w:sz w:val="16"/>
                <w:szCs w:val="16"/>
              </w:rPr>
            </w:pPr>
            <w:r>
              <w:rPr>
                <w:b/>
                <w:sz w:val="16"/>
                <w:szCs w:val="16"/>
              </w:rPr>
              <w:t>Notes</w:t>
            </w:r>
          </w:p>
        </w:tc>
      </w:tr>
      <w:tr w:rsidR="00420FFA" w:rsidRPr="009D7D50" w14:paraId="60EA84A3" w14:textId="77777777" w:rsidTr="00AA15A4">
        <w:trPr>
          <w:cantSplit/>
        </w:trPr>
        <w:tc>
          <w:tcPr>
            <w:tcW w:w="1823" w:type="dxa"/>
            <w:shd w:val="clear" w:color="auto" w:fill="auto"/>
            <w:vAlign w:val="center"/>
          </w:tcPr>
          <w:p w14:paraId="6CFA897C" w14:textId="77777777" w:rsidR="00420FFA" w:rsidRDefault="00420FFA" w:rsidP="00420FFA">
            <w:pPr>
              <w:jc w:val="center"/>
              <w:rPr>
                <w:sz w:val="16"/>
                <w:szCs w:val="16"/>
              </w:rPr>
            </w:pPr>
            <w:proofErr w:type="spellStart"/>
            <w:r>
              <w:rPr>
                <w:sz w:val="16"/>
                <w:szCs w:val="16"/>
              </w:rPr>
              <w:t>StdC</w:t>
            </w:r>
            <w:proofErr w:type="spellEnd"/>
          </w:p>
        </w:tc>
        <w:tc>
          <w:tcPr>
            <w:tcW w:w="8347" w:type="dxa"/>
            <w:gridSpan w:val="7"/>
            <w:shd w:val="clear" w:color="auto" w:fill="auto"/>
            <w:vAlign w:val="center"/>
          </w:tcPr>
          <w:p w14:paraId="6279421F" w14:textId="77777777" w:rsidR="00420FFA" w:rsidRDefault="00420FFA" w:rsidP="00420FFA">
            <w:pPr>
              <w:jc w:val="center"/>
              <w:rPr>
                <w:sz w:val="16"/>
                <w:szCs w:val="16"/>
              </w:rPr>
            </w:pPr>
            <w:r>
              <w:rPr>
                <w:sz w:val="16"/>
                <w:szCs w:val="16"/>
              </w:rPr>
              <w:t xml:space="preserve"> Standards Committee</w:t>
            </w:r>
          </w:p>
        </w:tc>
      </w:tr>
      <w:tr w:rsidR="00420FFA" w:rsidRPr="009D7D50" w14:paraId="6DB42855" w14:textId="77777777" w:rsidTr="00AA15A4">
        <w:trPr>
          <w:cantSplit/>
        </w:trPr>
        <w:tc>
          <w:tcPr>
            <w:tcW w:w="1823" w:type="dxa"/>
            <w:shd w:val="clear" w:color="auto" w:fill="auto"/>
            <w:vAlign w:val="center"/>
          </w:tcPr>
          <w:p w14:paraId="1FEF5834" w14:textId="77777777" w:rsidR="00420FFA" w:rsidRDefault="00420FFA" w:rsidP="00420FFA">
            <w:pPr>
              <w:jc w:val="center"/>
              <w:rPr>
                <w:sz w:val="16"/>
                <w:szCs w:val="16"/>
              </w:rPr>
            </w:pPr>
            <w:r>
              <w:rPr>
                <w:sz w:val="16"/>
                <w:szCs w:val="16"/>
              </w:rPr>
              <w:t>PC</w:t>
            </w:r>
          </w:p>
        </w:tc>
        <w:tc>
          <w:tcPr>
            <w:tcW w:w="8347" w:type="dxa"/>
            <w:gridSpan w:val="7"/>
            <w:shd w:val="clear" w:color="auto" w:fill="auto"/>
            <w:vAlign w:val="center"/>
          </w:tcPr>
          <w:p w14:paraId="3C178773" w14:textId="77777777" w:rsidR="00420FFA" w:rsidRDefault="00420FFA" w:rsidP="00420FFA">
            <w:pPr>
              <w:jc w:val="center"/>
              <w:rPr>
                <w:sz w:val="16"/>
                <w:szCs w:val="16"/>
              </w:rPr>
            </w:pPr>
            <w:r>
              <w:rPr>
                <w:sz w:val="16"/>
                <w:szCs w:val="16"/>
              </w:rPr>
              <w:t xml:space="preserve"> Project Committee</w:t>
            </w:r>
          </w:p>
        </w:tc>
      </w:tr>
      <w:tr w:rsidR="00420FFA" w:rsidRPr="009D7D50" w14:paraId="521E7371" w14:textId="77777777" w:rsidTr="00AA15A4">
        <w:trPr>
          <w:cantSplit/>
        </w:trPr>
        <w:tc>
          <w:tcPr>
            <w:tcW w:w="1823" w:type="dxa"/>
            <w:shd w:val="clear" w:color="auto" w:fill="auto"/>
            <w:vAlign w:val="center"/>
          </w:tcPr>
          <w:p w14:paraId="337C31C0" w14:textId="77777777" w:rsidR="00420FFA" w:rsidRDefault="00420FFA" w:rsidP="00420FFA">
            <w:pPr>
              <w:jc w:val="center"/>
              <w:rPr>
                <w:sz w:val="16"/>
                <w:szCs w:val="16"/>
              </w:rPr>
            </w:pPr>
            <w:r>
              <w:rPr>
                <w:sz w:val="16"/>
                <w:szCs w:val="16"/>
              </w:rPr>
              <w:t>PPIS</w:t>
            </w:r>
          </w:p>
        </w:tc>
        <w:tc>
          <w:tcPr>
            <w:tcW w:w="8347" w:type="dxa"/>
            <w:gridSpan w:val="7"/>
            <w:shd w:val="clear" w:color="auto" w:fill="auto"/>
            <w:vAlign w:val="center"/>
          </w:tcPr>
          <w:p w14:paraId="3E8D69BE" w14:textId="77777777" w:rsidR="00420FFA" w:rsidRDefault="00420FFA" w:rsidP="00420FFA">
            <w:pPr>
              <w:jc w:val="center"/>
              <w:rPr>
                <w:sz w:val="16"/>
                <w:szCs w:val="16"/>
              </w:rPr>
            </w:pPr>
            <w:r>
              <w:rPr>
                <w:sz w:val="16"/>
                <w:szCs w:val="16"/>
              </w:rPr>
              <w:t>Standards Committee - Policy, Planning and Interpretations Subcommittee</w:t>
            </w:r>
          </w:p>
        </w:tc>
      </w:tr>
      <w:tr w:rsidR="00420FFA" w:rsidRPr="009D7D50" w14:paraId="22FABF1B" w14:textId="77777777" w:rsidTr="00AA15A4">
        <w:trPr>
          <w:cantSplit/>
        </w:trPr>
        <w:tc>
          <w:tcPr>
            <w:tcW w:w="1823" w:type="dxa"/>
            <w:shd w:val="clear" w:color="auto" w:fill="auto"/>
            <w:vAlign w:val="center"/>
          </w:tcPr>
          <w:p w14:paraId="753F9296" w14:textId="77777777" w:rsidR="00420FFA" w:rsidRDefault="00420FFA" w:rsidP="00420FFA">
            <w:pPr>
              <w:jc w:val="center"/>
              <w:rPr>
                <w:sz w:val="16"/>
                <w:szCs w:val="16"/>
              </w:rPr>
            </w:pPr>
            <w:r>
              <w:rPr>
                <w:sz w:val="16"/>
                <w:szCs w:val="16"/>
              </w:rPr>
              <w:t>SPLS</w:t>
            </w:r>
          </w:p>
        </w:tc>
        <w:tc>
          <w:tcPr>
            <w:tcW w:w="8347" w:type="dxa"/>
            <w:gridSpan w:val="7"/>
            <w:shd w:val="clear" w:color="auto" w:fill="auto"/>
            <w:vAlign w:val="center"/>
          </w:tcPr>
          <w:p w14:paraId="22E76AD9" w14:textId="77777777" w:rsidR="00420FFA" w:rsidRDefault="00420FFA" w:rsidP="00420FFA">
            <w:pPr>
              <w:jc w:val="center"/>
              <w:rPr>
                <w:sz w:val="16"/>
                <w:szCs w:val="16"/>
              </w:rPr>
            </w:pPr>
            <w:r>
              <w:rPr>
                <w:sz w:val="16"/>
                <w:szCs w:val="16"/>
              </w:rPr>
              <w:t>Standards Committee - Standards Project Liaison Subcommittee</w:t>
            </w:r>
          </w:p>
        </w:tc>
      </w:tr>
      <w:tr w:rsidR="00420FFA" w:rsidRPr="009D7D50" w14:paraId="7CD1A41E" w14:textId="77777777" w:rsidTr="00AA15A4">
        <w:trPr>
          <w:cantSplit/>
        </w:trPr>
        <w:tc>
          <w:tcPr>
            <w:tcW w:w="1823" w:type="dxa"/>
            <w:shd w:val="clear" w:color="auto" w:fill="auto"/>
            <w:vAlign w:val="center"/>
          </w:tcPr>
          <w:p w14:paraId="08823219" w14:textId="77777777" w:rsidR="00420FFA" w:rsidRDefault="00420FFA" w:rsidP="00420FFA">
            <w:pPr>
              <w:jc w:val="center"/>
              <w:rPr>
                <w:sz w:val="16"/>
                <w:szCs w:val="16"/>
              </w:rPr>
            </w:pPr>
            <w:r>
              <w:rPr>
                <w:sz w:val="16"/>
                <w:szCs w:val="16"/>
              </w:rPr>
              <w:t>SRS</w:t>
            </w:r>
          </w:p>
        </w:tc>
        <w:tc>
          <w:tcPr>
            <w:tcW w:w="8347" w:type="dxa"/>
            <w:gridSpan w:val="7"/>
            <w:shd w:val="clear" w:color="auto" w:fill="auto"/>
            <w:vAlign w:val="center"/>
          </w:tcPr>
          <w:p w14:paraId="05C8A0E8" w14:textId="77777777" w:rsidR="00420FFA" w:rsidRDefault="00420FFA" w:rsidP="00420FFA">
            <w:pPr>
              <w:jc w:val="center"/>
              <w:rPr>
                <w:sz w:val="16"/>
                <w:szCs w:val="16"/>
              </w:rPr>
            </w:pPr>
            <w:r>
              <w:rPr>
                <w:sz w:val="16"/>
                <w:szCs w:val="16"/>
              </w:rPr>
              <w:t>Standards Committee - Standards Reaffirmation Subcommittee</w:t>
            </w:r>
          </w:p>
        </w:tc>
      </w:tr>
      <w:tr w:rsidR="00420FFA" w:rsidRPr="009D7D50" w14:paraId="51ED53B7" w14:textId="77777777" w:rsidTr="00AA15A4">
        <w:trPr>
          <w:cantSplit/>
        </w:trPr>
        <w:tc>
          <w:tcPr>
            <w:tcW w:w="1823" w:type="dxa"/>
            <w:shd w:val="clear" w:color="auto" w:fill="auto"/>
            <w:vAlign w:val="center"/>
          </w:tcPr>
          <w:p w14:paraId="119209D0" w14:textId="77777777" w:rsidR="00420FFA" w:rsidRDefault="00420FFA" w:rsidP="00420FFA">
            <w:pPr>
              <w:jc w:val="center"/>
              <w:rPr>
                <w:sz w:val="16"/>
                <w:szCs w:val="16"/>
              </w:rPr>
            </w:pPr>
            <w:proofErr w:type="spellStart"/>
            <w:r>
              <w:rPr>
                <w:sz w:val="16"/>
                <w:szCs w:val="16"/>
              </w:rPr>
              <w:t>TechC</w:t>
            </w:r>
            <w:proofErr w:type="spellEnd"/>
          </w:p>
        </w:tc>
        <w:tc>
          <w:tcPr>
            <w:tcW w:w="8347" w:type="dxa"/>
            <w:gridSpan w:val="7"/>
            <w:shd w:val="clear" w:color="auto" w:fill="auto"/>
            <w:vAlign w:val="center"/>
          </w:tcPr>
          <w:p w14:paraId="2A8F2E3B" w14:textId="77777777" w:rsidR="00420FFA" w:rsidRDefault="00420FFA" w:rsidP="00420FFA">
            <w:pPr>
              <w:jc w:val="center"/>
              <w:rPr>
                <w:sz w:val="16"/>
                <w:szCs w:val="16"/>
              </w:rPr>
            </w:pPr>
            <w:r>
              <w:rPr>
                <w:sz w:val="16"/>
                <w:szCs w:val="16"/>
              </w:rPr>
              <w:t>ASHRAE Technology Council</w:t>
            </w:r>
          </w:p>
        </w:tc>
      </w:tr>
      <w:tr w:rsidR="00420FFA" w:rsidRPr="009D7D50" w14:paraId="72632B0B" w14:textId="77777777" w:rsidTr="00AA15A4">
        <w:trPr>
          <w:cantSplit/>
        </w:trPr>
        <w:tc>
          <w:tcPr>
            <w:tcW w:w="1823" w:type="dxa"/>
            <w:shd w:val="clear" w:color="auto" w:fill="auto"/>
            <w:vAlign w:val="center"/>
          </w:tcPr>
          <w:p w14:paraId="18B17BDC" w14:textId="77777777" w:rsidR="00420FFA" w:rsidRDefault="00420FFA" w:rsidP="00420FFA">
            <w:pPr>
              <w:jc w:val="center"/>
              <w:rPr>
                <w:sz w:val="16"/>
                <w:szCs w:val="16"/>
              </w:rPr>
            </w:pPr>
            <w:r>
              <w:rPr>
                <w:sz w:val="16"/>
                <w:szCs w:val="16"/>
              </w:rPr>
              <w:t>BOD</w:t>
            </w:r>
          </w:p>
        </w:tc>
        <w:tc>
          <w:tcPr>
            <w:tcW w:w="8347" w:type="dxa"/>
            <w:gridSpan w:val="7"/>
            <w:shd w:val="clear" w:color="auto" w:fill="auto"/>
            <w:vAlign w:val="center"/>
          </w:tcPr>
          <w:p w14:paraId="6BE95B5F" w14:textId="77777777" w:rsidR="00420FFA" w:rsidRDefault="00420FFA" w:rsidP="00420FFA">
            <w:pPr>
              <w:jc w:val="center"/>
              <w:rPr>
                <w:sz w:val="16"/>
                <w:szCs w:val="16"/>
              </w:rPr>
            </w:pPr>
            <w:r>
              <w:rPr>
                <w:sz w:val="16"/>
                <w:szCs w:val="16"/>
              </w:rPr>
              <w:t>ASHRAE Board of Directors</w:t>
            </w:r>
          </w:p>
        </w:tc>
      </w:tr>
      <w:tr w:rsidR="00420FFA" w:rsidRPr="009D7D50" w14:paraId="716A5F87" w14:textId="77777777" w:rsidTr="00AA15A4">
        <w:trPr>
          <w:cantSplit/>
        </w:trPr>
        <w:tc>
          <w:tcPr>
            <w:tcW w:w="1823" w:type="dxa"/>
            <w:shd w:val="clear" w:color="auto" w:fill="auto"/>
            <w:vAlign w:val="center"/>
          </w:tcPr>
          <w:p w14:paraId="6177359D" w14:textId="77777777" w:rsidR="00420FFA" w:rsidRDefault="00420FFA" w:rsidP="00420FFA">
            <w:pPr>
              <w:jc w:val="center"/>
              <w:rPr>
                <w:sz w:val="16"/>
                <w:szCs w:val="16"/>
              </w:rPr>
            </w:pPr>
            <w:r>
              <w:rPr>
                <w:sz w:val="16"/>
                <w:szCs w:val="16"/>
              </w:rPr>
              <w:t>Quorum at a meeting</w:t>
            </w:r>
          </w:p>
        </w:tc>
        <w:tc>
          <w:tcPr>
            <w:tcW w:w="8347" w:type="dxa"/>
            <w:gridSpan w:val="7"/>
            <w:shd w:val="clear" w:color="auto" w:fill="auto"/>
            <w:vAlign w:val="center"/>
          </w:tcPr>
          <w:p w14:paraId="3550A22D" w14:textId="77777777" w:rsidR="00420FFA" w:rsidRDefault="00420FFA" w:rsidP="00420FFA">
            <w:pPr>
              <w:jc w:val="center"/>
              <w:rPr>
                <w:sz w:val="16"/>
                <w:szCs w:val="16"/>
              </w:rPr>
            </w:pPr>
            <w:r>
              <w:rPr>
                <w:sz w:val="16"/>
                <w:szCs w:val="16"/>
              </w:rPr>
              <w:t>More than 50% of voting membership present</w:t>
            </w:r>
          </w:p>
        </w:tc>
      </w:tr>
      <w:tr w:rsidR="00420FFA" w:rsidRPr="009D7D50" w14:paraId="5ECFD3EB" w14:textId="77777777" w:rsidTr="00AA15A4">
        <w:trPr>
          <w:cantSplit/>
        </w:trPr>
        <w:tc>
          <w:tcPr>
            <w:tcW w:w="1823" w:type="dxa"/>
            <w:shd w:val="clear" w:color="auto" w:fill="auto"/>
            <w:vAlign w:val="center"/>
          </w:tcPr>
          <w:p w14:paraId="18DFAD50" w14:textId="77777777" w:rsidR="00420FFA" w:rsidRPr="00006370" w:rsidRDefault="00420FFA" w:rsidP="00420FFA">
            <w:pPr>
              <w:jc w:val="center"/>
              <w:rPr>
                <w:b/>
                <w:szCs w:val="24"/>
              </w:rPr>
            </w:pPr>
            <w:r>
              <w:rPr>
                <w:b/>
                <w:szCs w:val="24"/>
              </w:rPr>
              <w:lastRenderedPageBreak/>
              <w:t>#</w:t>
            </w:r>
          </w:p>
        </w:tc>
        <w:tc>
          <w:tcPr>
            <w:tcW w:w="8347" w:type="dxa"/>
            <w:gridSpan w:val="7"/>
            <w:shd w:val="clear" w:color="auto" w:fill="auto"/>
            <w:vAlign w:val="center"/>
          </w:tcPr>
          <w:p w14:paraId="5808A5DC" w14:textId="77777777" w:rsidR="00420FFA" w:rsidRDefault="00420FFA" w:rsidP="00420FFA">
            <w:pPr>
              <w:jc w:val="center"/>
              <w:rPr>
                <w:sz w:val="16"/>
                <w:szCs w:val="16"/>
              </w:rPr>
            </w:pPr>
            <w:r>
              <w:rPr>
                <w:sz w:val="16"/>
                <w:szCs w:val="16"/>
              </w:rPr>
              <w:t>SRS can act as the revision committee under certain circumstances</w:t>
            </w:r>
          </w:p>
        </w:tc>
      </w:tr>
      <w:tr w:rsidR="00420FFA" w:rsidRPr="009D7D50" w14:paraId="1E611FD8" w14:textId="77777777" w:rsidTr="00AA15A4">
        <w:trPr>
          <w:cantSplit/>
        </w:trPr>
        <w:tc>
          <w:tcPr>
            <w:tcW w:w="1823" w:type="dxa"/>
            <w:shd w:val="clear" w:color="auto" w:fill="auto"/>
            <w:vAlign w:val="center"/>
          </w:tcPr>
          <w:p w14:paraId="6601C6E5" w14:textId="77777777" w:rsidR="00420FFA" w:rsidRPr="00006370" w:rsidRDefault="00420FFA" w:rsidP="00420FFA">
            <w:pPr>
              <w:jc w:val="center"/>
              <w:rPr>
                <w:b/>
                <w:sz w:val="28"/>
                <w:szCs w:val="28"/>
              </w:rPr>
            </w:pPr>
            <w:r w:rsidRPr="00006370">
              <w:rPr>
                <w:b/>
                <w:sz w:val="28"/>
                <w:szCs w:val="28"/>
              </w:rPr>
              <w:t>*</w:t>
            </w:r>
          </w:p>
        </w:tc>
        <w:tc>
          <w:tcPr>
            <w:tcW w:w="8347" w:type="dxa"/>
            <w:gridSpan w:val="7"/>
            <w:shd w:val="clear" w:color="auto" w:fill="auto"/>
            <w:vAlign w:val="center"/>
          </w:tcPr>
          <w:p w14:paraId="6D3827F0" w14:textId="6D863330" w:rsidR="00420FFA" w:rsidRPr="009D7D50" w:rsidRDefault="00420FFA" w:rsidP="00420FFA">
            <w:pPr>
              <w:jc w:val="center"/>
              <w:rPr>
                <w:sz w:val="16"/>
                <w:szCs w:val="16"/>
              </w:rPr>
            </w:pPr>
            <w:r>
              <w:rPr>
                <w:sz w:val="16"/>
                <w:szCs w:val="16"/>
              </w:rPr>
              <w:t xml:space="preserve">For a </w:t>
            </w:r>
            <w:r w:rsidR="001560C0">
              <w:rPr>
                <w:sz w:val="16"/>
                <w:szCs w:val="16"/>
              </w:rPr>
              <w:t>non-standards action</w:t>
            </w:r>
            <w:r>
              <w:rPr>
                <w:sz w:val="16"/>
                <w:szCs w:val="16"/>
              </w:rPr>
              <w:t xml:space="preserve"> vote: m</w:t>
            </w:r>
            <w:r w:rsidRPr="00A236DE">
              <w:rPr>
                <w:sz w:val="16"/>
                <w:szCs w:val="16"/>
              </w:rPr>
              <w:t>ajority of those voting at a meeting</w:t>
            </w:r>
            <w:r>
              <w:rPr>
                <w:sz w:val="16"/>
                <w:szCs w:val="16"/>
              </w:rPr>
              <w:t>;  Letter ballot – majority of the voting membership</w:t>
            </w:r>
          </w:p>
        </w:tc>
      </w:tr>
      <w:tr w:rsidR="00420FFA" w:rsidRPr="009D7D50" w14:paraId="02E75400" w14:textId="77777777" w:rsidTr="00AA15A4">
        <w:trPr>
          <w:cantSplit/>
        </w:trPr>
        <w:tc>
          <w:tcPr>
            <w:tcW w:w="1823" w:type="dxa"/>
            <w:vMerge w:val="restart"/>
            <w:shd w:val="clear" w:color="auto" w:fill="auto"/>
            <w:vAlign w:val="center"/>
          </w:tcPr>
          <w:p w14:paraId="0F0F6C7A" w14:textId="77777777" w:rsidR="00420FFA" w:rsidRPr="00006370" w:rsidRDefault="00420FFA" w:rsidP="00420FFA">
            <w:pPr>
              <w:jc w:val="center"/>
              <w:rPr>
                <w:b/>
                <w:sz w:val="28"/>
                <w:szCs w:val="28"/>
              </w:rPr>
            </w:pPr>
            <w:r w:rsidRPr="00006370">
              <w:rPr>
                <w:b/>
                <w:sz w:val="28"/>
                <w:szCs w:val="28"/>
              </w:rPr>
              <w:t xml:space="preserve">+ </w:t>
            </w:r>
          </w:p>
        </w:tc>
        <w:tc>
          <w:tcPr>
            <w:tcW w:w="8347" w:type="dxa"/>
            <w:gridSpan w:val="7"/>
            <w:shd w:val="clear" w:color="auto" w:fill="auto"/>
            <w:vAlign w:val="center"/>
          </w:tcPr>
          <w:p w14:paraId="5DC130FA" w14:textId="0E6A6D0D" w:rsidR="00420FFA" w:rsidRDefault="00420FFA" w:rsidP="00420FFA">
            <w:pPr>
              <w:jc w:val="center"/>
              <w:rPr>
                <w:sz w:val="16"/>
                <w:szCs w:val="16"/>
              </w:rPr>
            </w:pPr>
            <w:r>
              <w:rPr>
                <w:sz w:val="16"/>
                <w:szCs w:val="16"/>
              </w:rPr>
              <w:t>For a standards action: a</w:t>
            </w:r>
            <w:r w:rsidRPr="007F4ADC">
              <w:rPr>
                <w:sz w:val="16"/>
                <w:szCs w:val="16"/>
              </w:rPr>
              <w:t>ffirmative votes by the majority of the voting membership.</w:t>
            </w:r>
            <w:r>
              <w:rPr>
                <w:sz w:val="16"/>
                <w:szCs w:val="16"/>
              </w:rPr>
              <w:t xml:space="preserve">  </w:t>
            </w:r>
          </w:p>
          <w:p w14:paraId="5780CA8C" w14:textId="77777777" w:rsidR="00420FFA" w:rsidRPr="009D7D50" w:rsidRDefault="00420FFA" w:rsidP="00420FFA">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420FFA" w:rsidRPr="009D7D50" w14:paraId="3B26A376" w14:textId="77777777" w:rsidTr="00AA15A4">
        <w:trPr>
          <w:cantSplit/>
          <w:trHeight w:val="782"/>
        </w:trPr>
        <w:tc>
          <w:tcPr>
            <w:tcW w:w="1823" w:type="dxa"/>
            <w:vMerge/>
            <w:shd w:val="clear" w:color="auto" w:fill="auto"/>
            <w:vAlign w:val="center"/>
          </w:tcPr>
          <w:p w14:paraId="7F8E3021" w14:textId="77777777" w:rsidR="00420FFA" w:rsidRDefault="00420FFA" w:rsidP="00420FFA">
            <w:pPr>
              <w:jc w:val="center"/>
              <w:rPr>
                <w:sz w:val="16"/>
                <w:szCs w:val="16"/>
              </w:rPr>
            </w:pPr>
          </w:p>
        </w:tc>
        <w:tc>
          <w:tcPr>
            <w:tcW w:w="8347" w:type="dxa"/>
            <w:gridSpan w:val="7"/>
            <w:shd w:val="clear" w:color="auto" w:fill="auto"/>
            <w:vAlign w:val="center"/>
          </w:tcPr>
          <w:p w14:paraId="0CD961AC" w14:textId="23E64C9D" w:rsidR="00420FFA" w:rsidRDefault="00420FFA" w:rsidP="00420FFA">
            <w:pPr>
              <w:jc w:val="center"/>
              <w:rPr>
                <w:sz w:val="16"/>
                <w:szCs w:val="16"/>
              </w:rPr>
            </w:pPr>
            <w:r>
              <w:rPr>
                <w:sz w:val="16"/>
                <w:szCs w:val="16"/>
              </w:rPr>
              <w:t>Letter Ballot -- A</w:t>
            </w:r>
            <w:r w:rsidRPr="007F4ADC">
              <w:rPr>
                <w:sz w:val="16"/>
                <w:szCs w:val="16"/>
              </w:rPr>
              <w:t>ffirmative votes by the majority of the voting membership,</w:t>
            </w:r>
          </w:p>
          <w:p w14:paraId="0A84BB76" w14:textId="77777777" w:rsidR="00420FFA" w:rsidRPr="007F4ADC" w:rsidRDefault="00420FFA" w:rsidP="00420FFA">
            <w:pPr>
              <w:jc w:val="center"/>
              <w:rPr>
                <w:sz w:val="16"/>
                <w:szCs w:val="16"/>
              </w:rPr>
            </w:pPr>
            <w:r>
              <w:rPr>
                <w:sz w:val="16"/>
                <w:szCs w:val="16"/>
              </w:rPr>
              <w:t xml:space="preserve">Negative </w:t>
            </w:r>
            <w:r w:rsidRPr="007D07AE">
              <w:rPr>
                <w:sz w:val="16"/>
                <w:szCs w:val="16"/>
              </w:rPr>
              <w:t>votes with reason</w:t>
            </w:r>
            <w:r>
              <w:rPr>
                <w:sz w:val="16"/>
                <w:szCs w:val="16"/>
              </w:rPr>
              <w:t xml:space="preserve"> shall be ‘recirculated’ to all voting members with time limit in case anyone wants to change vote.  Results are final upon expiration of time limit.</w:t>
            </w:r>
          </w:p>
          <w:p w14:paraId="21184548" w14:textId="77777777" w:rsidR="00420FFA" w:rsidRPr="007F4ADC" w:rsidRDefault="00420FFA" w:rsidP="00420FFA">
            <w:pPr>
              <w:jc w:val="center"/>
              <w:rPr>
                <w:sz w:val="16"/>
                <w:szCs w:val="16"/>
              </w:rPr>
            </w:pPr>
          </w:p>
        </w:tc>
      </w:tr>
    </w:tbl>
    <w:p w14:paraId="5459CA92" w14:textId="77777777" w:rsidR="00E1214E" w:rsidRDefault="00E1214E" w:rsidP="00A55782">
      <w:pPr>
        <w:jc w:val="both"/>
        <w:rPr>
          <w:sz w:val="22"/>
          <w:szCs w:val="22"/>
        </w:rPr>
      </w:pPr>
    </w:p>
    <w:bookmarkEnd w:id="36"/>
    <w:p w14:paraId="13BD21AD" w14:textId="77777777" w:rsidR="00E5111E" w:rsidRDefault="00E5111E" w:rsidP="00E5111E">
      <w:pPr>
        <w:jc w:val="center"/>
        <w:rPr>
          <w:rFonts w:cs="Calibri"/>
          <w:b/>
        </w:rPr>
      </w:pPr>
    </w:p>
    <w:p w14:paraId="2A74EC9F" w14:textId="77777777" w:rsidR="00E5111E" w:rsidRPr="00641B64" w:rsidRDefault="00E5111E" w:rsidP="00E5111E">
      <w:pPr>
        <w:rPr>
          <w:rFonts w:cs="Calibri"/>
          <w:strike/>
          <w:color w:val="1F497D"/>
        </w:rPr>
      </w:pPr>
    </w:p>
    <w:p w14:paraId="625286D8" w14:textId="77777777" w:rsidR="00902D4A" w:rsidRPr="00931D46" w:rsidRDefault="002B7EA8" w:rsidP="00E3378B">
      <w:pPr>
        <w:jc w:val="both"/>
        <w:rPr>
          <w:b/>
        </w:rPr>
      </w:pPr>
      <w:bookmarkStart w:id="39" w:name="_Toc141507094"/>
      <w:r>
        <w:rPr>
          <w:b/>
        </w:rPr>
        <w:br w:type="page"/>
      </w:r>
      <w:bookmarkEnd w:id="37"/>
      <w:r w:rsidR="00B34570" w:rsidRPr="00931D46">
        <w:rPr>
          <w:b/>
        </w:rPr>
        <w:lastRenderedPageBreak/>
        <w:t xml:space="preserve">NORMATIVE </w:t>
      </w:r>
      <w:r w:rsidR="00064FB7" w:rsidRPr="00931D46">
        <w:rPr>
          <w:b/>
        </w:rPr>
        <w:t>APPENDIX</w:t>
      </w:r>
      <w:r w:rsidR="00902D4A" w:rsidRPr="00931D46">
        <w:rPr>
          <w:b/>
        </w:rPr>
        <w:t xml:space="preserve"> A: D</w:t>
      </w:r>
      <w:r w:rsidR="008E36B5" w:rsidRPr="00931D46">
        <w:rPr>
          <w:b/>
        </w:rPr>
        <w:t>efinitions</w:t>
      </w:r>
      <w:bookmarkEnd w:id="39"/>
    </w:p>
    <w:p w14:paraId="130BE63C" w14:textId="77777777" w:rsidR="0053138C" w:rsidRDefault="0053138C" w:rsidP="00AE788E">
      <w:pPr>
        <w:pStyle w:val="StyleStyleHeading112pt14pt"/>
      </w:pPr>
    </w:p>
    <w:p w14:paraId="4A8C5680" w14:textId="77777777" w:rsidR="00EA16E0" w:rsidRPr="00EA16E0" w:rsidRDefault="00EA16E0" w:rsidP="00EA16E0">
      <w:pPr>
        <w:rPr>
          <w:bCs/>
          <w:sz w:val="22"/>
          <w:szCs w:val="22"/>
        </w:rPr>
      </w:pPr>
      <w:r>
        <w:rPr>
          <w:b/>
          <w:bCs/>
          <w:sz w:val="22"/>
          <w:szCs w:val="22"/>
        </w:rPr>
        <w:t>a</w:t>
      </w:r>
      <w:r w:rsidRPr="00EA16E0">
        <w:rPr>
          <w:b/>
          <w:bCs/>
          <w:sz w:val="22"/>
          <w:szCs w:val="22"/>
        </w:rPr>
        <w:t xml:space="preserve">daptation – </w:t>
      </w:r>
      <w:r w:rsidRPr="00EA16E0">
        <w:rPr>
          <w:bCs/>
          <w:sz w:val="22"/>
          <w:szCs w:val="22"/>
        </w:rPr>
        <w:t>Use of an ASHRAE standard or guideline with modification of technical content but without modification of technical intent to meet the needs of an international organization or entity.</w:t>
      </w:r>
    </w:p>
    <w:p w14:paraId="04DF4A04" w14:textId="77777777" w:rsidR="00EA16E0" w:rsidRDefault="00EA16E0" w:rsidP="00EA16E0">
      <w:pPr>
        <w:ind w:left="720"/>
        <w:rPr>
          <w:rFonts w:ascii="Arial" w:hAnsi="Arial" w:cs="Arial"/>
          <w:b/>
          <w:bCs/>
          <w:u w:val="single"/>
        </w:rPr>
      </w:pPr>
    </w:p>
    <w:p w14:paraId="052722F2" w14:textId="77777777" w:rsidR="00EA16E0" w:rsidRPr="00EA16E0" w:rsidRDefault="00EA16E0" w:rsidP="00EA16E0">
      <w:pPr>
        <w:rPr>
          <w:sz w:val="22"/>
          <w:szCs w:val="22"/>
        </w:rPr>
      </w:pPr>
      <w:r w:rsidRPr="00EA16E0">
        <w:rPr>
          <w:b/>
          <w:sz w:val="22"/>
          <w:szCs w:val="22"/>
        </w:rPr>
        <w:t>addenda:</w:t>
      </w:r>
      <w:r w:rsidRPr="00EA16E0">
        <w:rPr>
          <w:sz w:val="22"/>
          <w:szCs w:val="22"/>
        </w:rPr>
        <w:t xml:space="preserve">  revisions to a standard or guideline in the form of a supplement.</w:t>
      </w:r>
    </w:p>
    <w:p w14:paraId="497446D3" w14:textId="77777777" w:rsidR="00EA16E0" w:rsidRDefault="00EA16E0" w:rsidP="00EA16E0">
      <w:pPr>
        <w:rPr>
          <w:b/>
          <w:bCs/>
          <w:sz w:val="22"/>
          <w:szCs w:val="22"/>
        </w:rPr>
      </w:pPr>
    </w:p>
    <w:p w14:paraId="0CCDED3D" w14:textId="77777777" w:rsidR="00EA16E0" w:rsidRPr="00EA16E0" w:rsidRDefault="00EA16E0" w:rsidP="00EA16E0">
      <w:pPr>
        <w:rPr>
          <w:bCs/>
          <w:sz w:val="22"/>
          <w:szCs w:val="22"/>
        </w:rPr>
      </w:pPr>
      <w:r>
        <w:rPr>
          <w:b/>
          <w:bCs/>
          <w:sz w:val="22"/>
          <w:szCs w:val="22"/>
        </w:rPr>
        <w:t>a</w:t>
      </w:r>
      <w:r w:rsidRPr="00EA16E0">
        <w:rPr>
          <w:b/>
          <w:bCs/>
          <w:sz w:val="22"/>
          <w:szCs w:val="22"/>
        </w:rPr>
        <w:t xml:space="preserve">doption – </w:t>
      </w:r>
      <w:r w:rsidRPr="00EA16E0">
        <w:rPr>
          <w:bCs/>
          <w:sz w:val="22"/>
          <w:szCs w:val="22"/>
        </w:rPr>
        <w:t>use of an ASHRAE standard or guideline without modification of technical intent and content.</w:t>
      </w:r>
    </w:p>
    <w:p w14:paraId="5312F5CE" w14:textId="77777777" w:rsidR="00EA16E0" w:rsidRDefault="00EA16E0" w:rsidP="00B34570">
      <w:pPr>
        <w:rPr>
          <w:b/>
          <w:szCs w:val="22"/>
        </w:rPr>
      </w:pPr>
    </w:p>
    <w:p w14:paraId="196CC5F7" w14:textId="77777777" w:rsidR="00FF0A38" w:rsidRPr="0003226D" w:rsidRDefault="00FF0A38" w:rsidP="00FF0A38">
      <w:pPr>
        <w:tabs>
          <w:tab w:val="left" w:pos="-1440"/>
          <w:tab w:val="left" w:pos="-720"/>
          <w:tab w:val="left" w:pos="0"/>
          <w:tab w:val="left" w:pos="2880"/>
          <w:tab w:val="right" w:leader="dot" w:pos="8640"/>
          <w:tab w:val="right" w:pos="9360"/>
        </w:tabs>
        <w:suppressAutoHyphens/>
        <w:ind w:right="-360"/>
        <w:rPr>
          <w:bCs/>
          <w:sz w:val="22"/>
          <w:szCs w:val="22"/>
        </w:rPr>
      </w:pPr>
      <w:r w:rsidRPr="00E3378B">
        <w:rPr>
          <w:b/>
          <w:bCs/>
          <w:sz w:val="22"/>
          <w:szCs w:val="22"/>
        </w:rPr>
        <w:t>code</w:t>
      </w:r>
      <w:r w:rsidR="002C2175">
        <w:rPr>
          <w:b/>
          <w:bCs/>
          <w:sz w:val="22"/>
          <w:szCs w:val="22"/>
        </w:rPr>
        <w:t xml:space="preserve"> intended standards</w:t>
      </w:r>
      <w:r w:rsidRPr="00E3378B">
        <w:rPr>
          <w:b/>
          <w:bCs/>
          <w:sz w:val="22"/>
          <w:szCs w:val="22"/>
        </w:rPr>
        <w:t>:</w:t>
      </w:r>
      <w:r w:rsidR="00E3378B">
        <w:rPr>
          <w:b/>
          <w:bCs/>
          <w:sz w:val="22"/>
          <w:szCs w:val="22"/>
        </w:rPr>
        <w:t xml:space="preserve"> </w:t>
      </w:r>
      <w:r w:rsidR="002E6256">
        <w:rPr>
          <w:bCs/>
          <w:sz w:val="22"/>
          <w:szCs w:val="22"/>
        </w:rPr>
        <w:t>a</w:t>
      </w:r>
      <w:r w:rsidRPr="00E3378B">
        <w:rPr>
          <w:bCs/>
          <w:sz w:val="22"/>
          <w:szCs w:val="22"/>
        </w:rPr>
        <w:t xml:space="preserve"> document that presents a set of requirements related to the design, application, or use of HVAC&amp;R and related technologies where all or a portion of the document may be enacted as mandatory enforceable requirements by a political jurisdiction.  Portions intended to be enforced (</w:t>
      </w:r>
      <w:r w:rsidRPr="00E3378B">
        <w:rPr>
          <w:bCs/>
          <w:i/>
          <w:sz w:val="22"/>
          <w:szCs w:val="22"/>
        </w:rPr>
        <w:t>normative</w:t>
      </w:r>
      <w:r w:rsidRPr="00E3378B">
        <w:rPr>
          <w:bCs/>
          <w:sz w:val="22"/>
          <w:szCs w:val="22"/>
        </w:rPr>
        <w:t>) are written in mandatory enforceable language.  Portions not intended to be enforced are identified as</w:t>
      </w:r>
      <w:r w:rsidRPr="00E3378B">
        <w:rPr>
          <w:bCs/>
          <w:i/>
          <w:sz w:val="22"/>
          <w:szCs w:val="22"/>
        </w:rPr>
        <w:t xml:space="preserve"> informative</w:t>
      </w:r>
      <w:r w:rsidRPr="00E3378B">
        <w:rPr>
          <w:bCs/>
          <w:sz w:val="22"/>
          <w:szCs w:val="22"/>
        </w:rPr>
        <w:t xml:space="preserve"> and are usually located in informative appendices or other advisory documents.</w:t>
      </w:r>
    </w:p>
    <w:p w14:paraId="7CF35E4F" w14:textId="77777777" w:rsidR="00FF0A38" w:rsidRPr="00745E61" w:rsidRDefault="00FF0A38" w:rsidP="001641D5">
      <w:pPr>
        <w:pStyle w:val="StyleStyleHeading2TimesNewRomanJustified14ptSmallca"/>
      </w:pPr>
    </w:p>
    <w:p w14:paraId="1F75E4C7" w14:textId="08A891C4" w:rsidR="00902D4A" w:rsidRPr="00745E61" w:rsidRDefault="00DE6593">
      <w:pPr>
        <w:pStyle w:val="BodyText3"/>
        <w:jc w:val="both"/>
        <w:rPr>
          <w:rFonts w:ascii="Times New Roman" w:hAnsi="Times New Roman"/>
          <w:b w:val="0"/>
          <w:sz w:val="22"/>
          <w:szCs w:val="22"/>
        </w:rPr>
      </w:pPr>
      <w:r w:rsidRPr="007D07AE">
        <w:rPr>
          <w:rFonts w:ascii="Times New Roman" w:hAnsi="Times New Roman"/>
          <w:sz w:val="22"/>
          <w:szCs w:val="22"/>
        </w:rPr>
        <w:t>consensus</w:t>
      </w:r>
      <w:r w:rsidR="00902D4A" w:rsidRPr="007D07AE">
        <w:rPr>
          <w:rFonts w:ascii="Times New Roman" w:hAnsi="Times New Roman"/>
          <w:sz w:val="22"/>
          <w:szCs w:val="22"/>
        </w:rPr>
        <w:t>:</w:t>
      </w:r>
      <w:r w:rsidR="00902D4A" w:rsidRPr="00745E61">
        <w:rPr>
          <w:rFonts w:ascii="Times New Roman" w:hAnsi="Times New Roman"/>
          <w:sz w:val="22"/>
          <w:szCs w:val="22"/>
        </w:rPr>
        <w:t xml:space="preserve"> </w:t>
      </w:r>
      <w:r w:rsidR="00902D4A" w:rsidRPr="00745E61">
        <w:rPr>
          <w:rFonts w:ascii="Times New Roman" w:hAnsi="Times New Roman"/>
          <w:b w:val="0"/>
          <w:sz w:val="22"/>
          <w:szCs w:val="22"/>
        </w:rPr>
        <w:t>substantial agreement, in the judgment of a duly appointed authority, reached by directly and materially interest</w:t>
      </w:r>
      <w:r w:rsidR="003E7399">
        <w:rPr>
          <w:rFonts w:ascii="Times New Roman" w:hAnsi="Times New Roman"/>
          <w:b w:val="0"/>
          <w:sz w:val="22"/>
          <w:szCs w:val="22"/>
        </w:rPr>
        <w:t>ed</w:t>
      </w:r>
      <w:r w:rsidR="00902D4A" w:rsidRPr="00745E61">
        <w:rPr>
          <w:rFonts w:ascii="Times New Roman" w:hAnsi="Times New Roman"/>
          <w:b w:val="0"/>
          <w:sz w:val="22"/>
          <w:szCs w:val="22"/>
        </w:rPr>
        <w:t xml:space="preserve"> categories.  Substantial agreement means much more than a simple majority, but not necessarily unanimity.  Consensus requires that all views and objections be considered, and that an effort be made toward their solution.  It is not required that each separate interest subcategory reach consensus on the standard.  For ASHRAE standards projects and any jointly sponsored standards projects that use ASHRAE Procedures, the </w:t>
      </w:r>
      <w:r w:rsidR="005C1FCB" w:rsidRPr="00745E61">
        <w:rPr>
          <w:rFonts w:ascii="Times New Roman" w:hAnsi="Times New Roman"/>
          <w:b w:val="0"/>
          <w:sz w:val="22"/>
          <w:szCs w:val="22"/>
        </w:rPr>
        <w:t>PC</w:t>
      </w:r>
      <w:r w:rsidR="00902D4A" w:rsidRPr="00745E61">
        <w:rPr>
          <w:rFonts w:ascii="Times New Roman" w:hAnsi="Times New Roman"/>
          <w:b w:val="0"/>
          <w:sz w:val="22"/>
          <w:szCs w:val="22"/>
        </w:rPr>
        <w:t xml:space="preserve"> is the consensus forming body. “Duly appointed authority” means the </w:t>
      </w:r>
      <w:r w:rsidR="00141D52" w:rsidRPr="007D07AE">
        <w:rPr>
          <w:rFonts w:ascii="Times New Roman" w:hAnsi="Times New Roman"/>
          <w:b w:val="0"/>
          <w:sz w:val="22"/>
          <w:szCs w:val="22"/>
        </w:rPr>
        <w:t>ASHRAE Standards Committee</w:t>
      </w:r>
      <w:r w:rsidR="00902D4A" w:rsidRPr="007D07AE">
        <w:rPr>
          <w:rFonts w:ascii="Times New Roman" w:hAnsi="Times New Roman"/>
          <w:b w:val="0"/>
          <w:sz w:val="22"/>
          <w:szCs w:val="22"/>
        </w:rPr>
        <w:t xml:space="preserve"> and, in the case of jointly sponsored standards, the </w:t>
      </w:r>
      <w:r w:rsidR="007D07AE" w:rsidRPr="007D07AE">
        <w:rPr>
          <w:rFonts w:ascii="Times New Roman" w:hAnsi="Times New Roman"/>
          <w:b w:val="0"/>
          <w:sz w:val="22"/>
          <w:szCs w:val="22"/>
        </w:rPr>
        <w:t>A</w:t>
      </w:r>
      <w:r w:rsidR="00141D52" w:rsidRPr="007D07AE">
        <w:rPr>
          <w:rFonts w:ascii="Times New Roman" w:hAnsi="Times New Roman"/>
          <w:b w:val="0"/>
          <w:sz w:val="22"/>
          <w:szCs w:val="22"/>
        </w:rPr>
        <w:t>SHRAE Standards Committee</w:t>
      </w:r>
      <w:r w:rsidR="00902D4A" w:rsidRPr="007D07AE">
        <w:rPr>
          <w:rFonts w:ascii="Times New Roman" w:hAnsi="Times New Roman"/>
          <w:b w:val="0"/>
          <w:sz w:val="22"/>
          <w:szCs w:val="22"/>
        </w:rPr>
        <w:t xml:space="preserve"> and the joint sponsor(s</w:t>
      </w:r>
      <w:r w:rsidR="00902D4A" w:rsidRPr="00745E61">
        <w:rPr>
          <w:rFonts w:ascii="Times New Roman" w:hAnsi="Times New Roman"/>
          <w:b w:val="0"/>
          <w:sz w:val="22"/>
          <w:szCs w:val="22"/>
        </w:rPr>
        <w:t>).  For American National Standards, “duly appointed authority” means the ANSI Board of Standards Review.</w:t>
      </w:r>
    </w:p>
    <w:p w14:paraId="08D66550" w14:textId="77777777" w:rsidR="00902D4A" w:rsidRPr="00745E61" w:rsidRDefault="00902D4A">
      <w:pPr>
        <w:rPr>
          <w:sz w:val="22"/>
          <w:szCs w:val="22"/>
        </w:rPr>
      </w:pPr>
    </w:p>
    <w:p w14:paraId="23F95853" w14:textId="77777777" w:rsidR="00A638DE" w:rsidRDefault="002A1AC6">
      <w:pPr>
        <w:rPr>
          <w:sz w:val="22"/>
          <w:szCs w:val="22"/>
        </w:rPr>
      </w:pPr>
      <w:r>
        <w:rPr>
          <w:b/>
          <w:sz w:val="22"/>
          <w:szCs w:val="22"/>
        </w:rPr>
        <w:t>d</w:t>
      </w:r>
      <w:r w:rsidR="00A638DE" w:rsidRPr="00A638DE">
        <w:rPr>
          <w:b/>
          <w:sz w:val="22"/>
          <w:szCs w:val="22"/>
        </w:rPr>
        <w:t>ue Process:</w:t>
      </w:r>
      <w:r w:rsidR="002E6256">
        <w:rPr>
          <w:b/>
          <w:sz w:val="22"/>
          <w:szCs w:val="22"/>
        </w:rPr>
        <w:t xml:space="preserve"> </w:t>
      </w:r>
      <w:r w:rsidR="002E6256">
        <w:rPr>
          <w:sz w:val="22"/>
          <w:szCs w:val="22"/>
        </w:rPr>
        <w:t>d</w:t>
      </w:r>
      <w:r w:rsidR="00A638DE" w:rsidRPr="00A638DE">
        <w:rPr>
          <w:sz w:val="22"/>
          <w:szCs w:val="22"/>
        </w:rPr>
        <w:t xml:space="preserve">ue process is a course of proceedings carried out in accordance with established rules and principles.  Due process allows for equity and fair play for all participants. It means that any person with a direct and material interest in a standard has a right </w:t>
      </w:r>
      <w:proofErr w:type="spellStart"/>
      <w:r w:rsidR="00A638DE" w:rsidRPr="00A638DE">
        <w:rPr>
          <w:sz w:val="22"/>
          <w:szCs w:val="22"/>
        </w:rPr>
        <w:t>o</w:t>
      </w:r>
      <w:proofErr w:type="spellEnd"/>
      <w:r w:rsidR="00A638DE" w:rsidRPr="00A638DE">
        <w:rPr>
          <w:sz w:val="22"/>
          <w:szCs w:val="22"/>
        </w:rPr>
        <w:t xml:space="preserve"> participate by (a) expressing a position and its basis, (b) having th</w:t>
      </w:r>
      <w:r w:rsidR="002E6256">
        <w:rPr>
          <w:sz w:val="22"/>
          <w:szCs w:val="22"/>
        </w:rPr>
        <w:t>a</w:t>
      </w:r>
      <w:r w:rsidR="00A638DE" w:rsidRPr="00A638DE">
        <w:rPr>
          <w:sz w:val="22"/>
          <w:szCs w:val="22"/>
        </w:rPr>
        <w:t>t position considered, and (c) appealing if adversely affected</w:t>
      </w:r>
      <w:r w:rsidR="002E6256">
        <w:rPr>
          <w:sz w:val="22"/>
          <w:szCs w:val="22"/>
        </w:rPr>
        <w:t>.</w:t>
      </w:r>
    </w:p>
    <w:p w14:paraId="2FBE2CB7" w14:textId="77777777" w:rsidR="00FF0A38" w:rsidRDefault="00FF0A38">
      <w:pPr>
        <w:rPr>
          <w:sz w:val="22"/>
          <w:szCs w:val="22"/>
        </w:rPr>
      </w:pPr>
    </w:p>
    <w:p w14:paraId="2DC623AD" w14:textId="77777777" w:rsidR="00FF0A38" w:rsidRPr="002E6256" w:rsidRDefault="00FF0A38" w:rsidP="0030044C">
      <w:pPr>
        <w:jc w:val="both"/>
        <w:outlineLvl w:val="0"/>
        <w:rPr>
          <w:sz w:val="22"/>
          <w:szCs w:val="22"/>
        </w:rPr>
      </w:pPr>
      <w:r w:rsidRPr="002E6256">
        <w:rPr>
          <w:b/>
          <w:sz w:val="22"/>
          <w:szCs w:val="22"/>
        </w:rPr>
        <w:t>Guideline Project Committee (GPC):</w:t>
      </w:r>
      <w:r w:rsidRPr="002E6256">
        <w:rPr>
          <w:sz w:val="22"/>
          <w:szCs w:val="22"/>
        </w:rPr>
        <w:t xml:space="preserve"> a committee of technically qualified individuals whose function is to formulate, review, or revise ASHRAE Guidelines.  Balanced representation or interests are desirable, but not required.</w:t>
      </w:r>
    </w:p>
    <w:p w14:paraId="25536A5B" w14:textId="77777777" w:rsidR="00926C8E" w:rsidRDefault="00926C8E" w:rsidP="00926C8E">
      <w:pPr>
        <w:rPr>
          <w:sz w:val="22"/>
          <w:szCs w:val="22"/>
        </w:rPr>
      </w:pPr>
    </w:p>
    <w:p w14:paraId="0C23FBFB" w14:textId="77777777" w:rsidR="005811A0" w:rsidRDefault="000A553C" w:rsidP="005811A0">
      <w:pPr>
        <w:rPr>
          <w:sz w:val="22"/>
          <w:szCs w:val="22"/>
        </w:rPr>
      </w:pPr>
      <w:r>
        <w:rPr>
          <w:b/>
          <w:sz w:val="22"/>
          <w:szCs w:val="22"/>
        </w:rPr>
        <w:t>guidelines</w:t>
      </w:r>
      <w:r w:rsidR="005811A0">
        <w:rPr>
          <w:b/>
          <w:sz w:val="22"/>
          <w:szCs w:val="22"/>
        </w:rPr>
        <w:t>:</w:t>
      </w:r>
      <w:r w:rsidR="005811A0">
        <w:rPr>
          <w:sz w:val="22"/>
          <w:szCs w:val="22"/>
        </w:rPr>
        <w:t xml:space="preserve">  </w:t>
      </w:r>
      <w:r w:rsidR="002E6256">
        <w:rPr>
          <w:sz w:val="22"/>
          <w:szCs w:val="22"/>
        </w:rPr>
        <w:t>a</w:t>
      </w:r>
      <w:r w:rsidR="00A638DE">
        <w:rPr>
          <w:sz w:val="22"/>
          <w:szCs w:val="22"/>
        </w:rPr>
        <w:t xml:space="preserve"> guideline is a document </w:t>
      </w:r>
      <w:r w:rsidR="005811A0">
        <w:rPr>
          <w:sz w:val="22"/>
          <w:szCs w:val="22"/>
        </w:rPr>
        <w:t xml:space="preserve"> written in informative language</w:t>
      </w:r>
      <w:r w:rsidR="00A638DE">
        <w:rPr>
          <w:sz w:val="22"/>
          <w:szCs w:val="22"/>
        </w:rPr>
        <w:t xml:space="preserve"> that</w:t>
      </w:r>
      <w:r w:rsidR="005811A0">
        <w:rPr>
          <w:sz w:val="22"/>
          <w:szCs w:val="22"/>
        </w:rPr>
        <w:t xml:space="preserve"> provide</w:t>
      </w:r>
      <w:r w:rsidR="00A638DE">
        <w:rPr>
          <w:sz w:val="22"/>
          <w:szCs w:val="22"/>
        </w:rPr>
        <w:t>s</w:t>
      </w:r>
      <w:r w:rsidR="005811A0">
        <w:rPr>
          <w:sz w:val="22"/>
          <w:szCs w:val="22"/>
        </w:rPr>
        <w:t xml:space="preserve"> state-of-the-art design or best practice</w:t>
      </w:r>
      <w:r w:rsidR="00A638DE">
        <w:rPr>
          <w:sz w:val="22"/>
          <w:szCs w:val="22"/>
        </w:rPr>
        <w:t xml:space="preserve"> guidance.</w:t>
      </w:r>
      <w:r w:rsidR="005811A0">
        <w:rPr>
          <w:sz w:val="22"/>
          <w:szCs w:val="22"/>
        </w:rPr>
        <w:t xml:space="preserve">  Guidelines provide information on system selection, design approaches, practices and goals as well as setting optimum achievable performance levels.  Guidelines may address issues of concern such as startup and commissioning, operation and maintenance, and assurance that the goals of the associated standard (if any) are achieved.  (See ROB 1.201.004 formerly ROB 100-116-013.)</w:t>
      </w:r>
    </w:p>
    <w:p w14:paraId="5B867445" w14:textId="77777777" w:rsidR="00902D4A" w:rsidRDefault="00902D4A">
      <w:pPr>
        <w:pStyle w:val="BodyText3"/>
        <w:jc w:val="both"/>
        <w:rPr>
          <w:rFonts w:ascii="Times New Roman" w:hAnsi="Times New Roman"/>
          <w:b w:val="0"/>
        </w:rPr>
      </w:pPr>
    </w:p>
    <w:p w14:paraId="50275BB9" w14:textId="77777777" w:rsidR="00FF0A38" w:rsidRPr="002E6256" w:rsidRDefault="002E6256" w:rsidP="0030044C">
      <w:pPr>
        <w:jc w:val="both"/>
        <w:outlineLvl w:val="0"/>
        <w:rPr>
          <w:sz w:val="22"/>
          <w:szCs w:val="22"/>
        </w:rPr>
      </w:pPr>
      <w:r>
        <w:rPr>
          <w:b/>
          <w:sz w:val="22"/>
          <w:szCs w:val="22"/>
        </w:rPr>
        <w:t>Informative Appendix (A</w:t>
      </w:r>
      <w:r w:rsidR="00FF0A38" w:rsidRPr="002E6256">
        <w:rPr>
          <w:b/>
          <w:sz w:val="22"/>
          <w:szCs w:val="22"/>
        </w:rPr>
        <w:t>ppendix):</w:t>
      </w:r>
      <w:r w:rsidR="00FF0A38" w:rsidRPr="002E6256">
        <w:rPr>
          <w:sz w:val="22"/>
          <w:szCs w:val="22"/>
        </w:rPr>
        <w:t xml:space="preserve"> additional information of a non-mandatory nature, placed after all normative (mandatory) elements of the standard.  Informative Appendixes (appendices) provide non-mandatory information.  Changes to informative appendixes (appendices) are considered non-substantive.  Informative Appendixes (appendices) can be changed or even deleted in their entirety without being submitted for publication public review.  See ASHRAE Project Committee MOP Paragraph 8.1 &amp; Project Committee MOP Appendix A: Appendix and normative Appendix.</w:t>
      </w:r>
    </w:p>
    <w:p w14:paraId="10F6AE30" w14:textId="77777777" w:rsidR="00FF0A38" w:rsidRDefault="00FF0A38">
      <w:pPr>
        <w:pStyle w:val="BodyText3"/>
        <w:jc w:val="both"/>
        <w:rPr>
          <w:rFonts w:ascii="Times New Roman" w:hAnsi="Times New Roman"/>
          <w:b w:val="0"/>
        </w:rPr>
      </w:pPr>
    </w:p>
    <w:p w14:paraId="62852314" w14:textId="77777777" w:rsidR="00FF0A38" w:rsidRPr="002E6256" w:rsidRDefault="002E6256" w:rsidP="00FF0A38">
      <w:pPr>
        <w:jc w:val="both"/>
        <w:outlineLvl w:val="0"/>
        <w:rPr>
          <w:sz w:val="22"/>
          <w:szCs w:val="22"/>
        </w:rPr>
      </w:pPr>
      <w:r>
        <w:rPr>
          <w:b/>
          <w:sz w:val="22"/>
          <w:szCs w:val="22"/>
        </w:rPr>
        <w:t>I</w:t>
      </w:r>
      <w:r w:rsidR="00FF0A38" w:rsidRPr="002E6256">
        <w:rPr>
          <w:b/>
          <w:sz w:val="22"/>
          <w:szCs w:val="22"/>
        </w:rPr>
        <w:t xml:space="preserve">nterpretation-official:  </w:t>
      </w:r>
      <w:r w:rsidR="00FF0A38" w:rsidRPr="002E6256">
        <w:rPr>
          <w:sz w:val="22"/>
          <w:szCs w:val="22"/>
        </w:rPr>
        <w:t>a written explanation of the meaning of a specific provision of a standard or guideline, as determined by an existing cognizant PC or an Interpretation Committee (IC), in response to a written request.</w:t>
      </w:r>
    </w:p>
    <w:p w14:paraId="289FA696" w14:textId="77777777" w:rsidR="00FF0A38" w:rsidRPr="00F43812" w:rsidRDefault="00FF0A38" w:rsidP="00FF0A38">
      <w:pPr>
        <w:jc w:val="both"/>
        <w:outlineLvl w:val="0"/>
        <w:rPr>
          <w:b/>
          <w:sz w:val="22"/>
          <w:szCs w:val="22"/>
          <w:highlight w:val="cyan"/>
        </w:rPr>
      </w:pPr>
    </w:p>
    <w:p w14:paraId="0FC686B0" w14:textId="77777777" w:rsidR="00FF0A38" w:rsidRDefault="002E6256" w:rsidP="00FF0A38">
      <w:pPr>
        <w:jc w:val="both"/>
        <w:outlineLvl w:val="0"/>
        <w:rPr>
          <w:sz w:val="22"/>
          <w:szCs w:val="22"/>
        </w:rPr>
      </w:pPr>
      <w:r>
        <w:rPr>
          <w:b/>
          <w:sz w:val="22"/>
          <w:szCs w:val="22"/>
        </w:rPr>
        <w:lastRenderedPageBreak/>
        <w:t>I</w:t>
      </w:r>
      <w:r w:rsidR="00FF0A38" w:rsidRPr="002E6256">
        <w:rPr>
          <w:b/>
          <w:sz w:val="22"/>
          <w:szCs w:val="22"/>
        </w:rPr>
        <w:t>nterpretation-</w:t>
      </w:r>
      <w:proofErr w:type="spellStart"/>
      <w:r w:rsidR="00FF0A38" w:rsidRPr="002E6256">
        <w:rPr>
          <w:b/>
          <w:sz w:val="22"/>
          <w:szCs w:val="22"/>
        </w:rPr>
        <w:t>unoffical</w:t>
      </w:r>
      <w:proofErr w:type="spellEnd"/>
      <w:r w:rsidR="00FF0A38" w:rsidRPr="002E6256">
        <w:rPr>
          <w:b/>
          <w:sz w:val="22"/>
          <w:szCs w:val="22"/>
        </w:rPr>
        <w:t xml:space="preserve"> (personal):  </w:t>
      </w:r>
      <w:r w:rsidR="00FF0A38" w:rsidRPr="002E6256">
        <w:rPr>
          <w:sz w:val="22"/>
          <w:szCs w:val="22"/>
        </w:rPr>
        <w:t>a written explanation of the meaning of a specific provision of a guideline or standard, as determined by the Technology Department Staff, in response to a written request.</w:t>
      </w:r>
    </w:p>
    <w:p w14:paraId="4E29B845" w14:textId="77777777" w:rsidR="00A754D2" w:rsidRDefault="00A754D2" w:rsidP="00FF0A38">
      <w:pPr>
        <w:jc w:val="both"/>
        <w:outlineLvl w:val="0"/>
        <w:rPr>
          <w:sz w:val="22"/>
          <w:szCs w:val="22"/>
        </w:rPr>
      </w:pPr>
    </w:p>
    <w:p w14:paraId="318F20F5" w14:textId="77777777" w:rsidR="00902D4A" w:rsidRPr="0034427C" w:rsidRDefault="002A1AC6">
      <w:pPr>
        <w:pStyle w:val="BodyText3"/>
        <w:jc w:val="both"/>
        <w:rPr>
          <w:rFonts w:ascii="Times New Roman" w:hAnsi="Times New Roman"/>
          <w:b w:val="0"/>
          <w:sz w:val="22"/>
          <w:szCs w:val="22"/>
        </w:rPr>
      </w:pPr>
      <w:r>
        <w:rPr>
          <w:rFonts w:ascii="Times New Roman" w:hAnsi="Times New Roman"/>
          <w:sz w:val="22"/>
          <w:szCs w:val="22"/>
        </w:rPr>
        <w:t>p</w:t>
      </w:r>
      <w:r w:rsidR="00902D4A" w:rsidRPr="0034427C">
        <w:rPr>
          <w:rFonts w:ascii="Times New Roman" w:hAnsi="Times New Roman"/>
          <w:sz w:val="22"/>
          <w:szCs w:val="22"/>
        </w:rPr>
        <w:t xml:space="preserve">roject </w:t>
      </w:r>
      <w:r>
        <w:rPr>
          <w:rFonts w:ascii="Times New Roman" w:hAnsi="Times New Roman"/>
          <w:sz w:val="22"/>
          <w:szCs w:val="22"/>
        </w:rPr>
        <w:t>c</w:t>
      </w:r>
      <w:r w:rsidR="00902D4A" w:rsidRPr="0034427C">
        <w:rPr>
          <w:rFonts w:ascii="Times New Roman" w:hAnsi="Times New Roman"/>
          <w:sz w:val="22"/>
          <w:szCs w:val="22"/>
        </w:rPr>
        <w:t>ommittee (PC):</w:t>
      </w:r>
      <w:r w:rsidR="00902D4A" w:rsidRPr="0034427C">
        <w:rPr>
          <w:rFonts w:ascii="Times New Roman" w:hAnsi="Times New Roman"/>
          <w:b w:val="0"/>
          <w:sz w:val="22"/>
          <w:szCs w:val="22"/>
        </w:rPr>
        <w:t xml:space="preserve">  </w:t>
      </w:r>
      <w:r w:rsidR="002E6256">
        <w:rPr>
          <w:rFonts w:ascii="Times New Roman" w:hAnsi="Times New Roman"/>
          <w:b w:val="0"/>
          <w:sz w:val="22"/>
          <w:szCs w:val="22"/>
        </w:rPr>
        <w:t>a</w:t>
      </w:r>
      <w:r w:rsidR="00902D4A" w:rsidRPr="0034427C">
        <w:rPr>
          <w:rFonts w:ascii="Times New Roman" w:hAnsi="Times New Roman"/>
          <w:b w:val="0"/>
          <w:sz w:val="22"/>
          <w:szCs w:val="22"/>
        </w:rPr>
        <w:t xml:space="preserve"> Guideline Project Committee, Standing Guideline Project Committee, Standard Project Committee, or Standing Standard Project Committee.</w:t>
      </w:r>
    </w:p>
    <w:p w14:paraId="5AF03470" w14:textId="77777777" w:rsidR="00902D4A" w:rsidRDefault="00902D4A">
      <w:pPr>
        <w:pStyle w:val="BodyText3"/>
        <w:jc w:val="both"/>
        <w:rPr>
          <w:rFonts w:ascii="Times New Roman" w:hAnsi="Times New Roman"/>
          <w:b w:val="0"/>
          <w:sz w:val="22"/>
          <w:szCs w:val="22"/>
        </w:rPr>
      </w:pPr>
    </w:p>
    <w:p w14:paraId="4C1899EF" w14:textId="77777777" w:rsidR="00E3378B" w:rsidRDefault="00E3378B" w:rsidP="00E3378B">
      <w:pPr>
        <w:jc w:val="both"/>
        <w:rPr>
          <w:sz w:val="22"/>
          <w:szCs w:val="22"/>
        </w:rPr>
      </w:pPr>
      <w:r w:rsidRPr="00204B7F">
        <w:rPr>
          <w:b/>
          <w:sz w:val="22"/>
          <w:szCs w:val="22"/>
        </w:rPr>
        <w:t>standards action:</w:t>
      </w:r>
      <w:r w:rsidRPr="00204B7F">
        <w:rPr>
          <w:sz w:val="22"/>
          <w:szCs w:val="22"/>
        </w:rPr>
        <w:t xml:space="preserve"> an action recommending or approving publication of a new, revised, or reaffirmed standard or guideline, or withdrawal of a standard or guideline</w:t>
      </w:r>
      <w:r>
        <w:rPr>
          <w:sz w:val="22"/>
          <w:szCs w:val="22"/>
        </w:rPr>
        <w:t>.</w:t>
      </w:r>
    </w:p>
    <w:p w14:paraId="66D63938" w14:textId="77777777" w:rsidR="00E3378B" w:rsidRDefault="00E3378B">
      <w:pPr>
        <w:pStyle w:val="BodyText3"/>
        <w:jc w:val="both"/>
        <w:rPr>
          <w:rFonts w:ascii="Times New Roman" w:hAnsi="Times New Roman"/>
          <w:b w:val="0"/>
          <w:sz w:val="22"/>
          <w:szCs w:val="22"/>
        </w:rPr>
      </w:pPr>
    </w:p>
    <w:p w14:paraId="435DF98D" w14:textId="77777777" w:rsidR="0030044C" w:rsidRPr="002E6256" w:rsidRDefault="0030044C" w:rsidP="0030044C">
      <w:pPr>
        <w:pStyle w:val="BodyText3"/>
        <w:jc w:val="both"/>
        <w:rPr>
          <w:sz w:val="22"/>
          <w:szCs w:val="22"/>
        </w:rPr>
      </w:pPr>
      <w:r w:rsidRPr="002E6256">
        <w:rPr>
          <w:sz w:val="22"/>
          <w:szCs w:val="22"/>
        </w:rPr>
        <w:t xml:space="preserve">Standing Guideline Project Committee (SGPC): </w:t>
      </w:r>
      <w:r w:rsidRPr="002E6256">
        <w:rPr>
          <w:b w:val="0"/>
          <w:sz w:val="22"/>
          <w:szCs w:val="22"/>
        </w:rPr>
        <w:t xml:space="preserve"> a committee</w:t>
      </w:r>
      <w:r w:rsidRPr="002E6256">
        <w:rPr>
          <w:sz w:val="22"/>
          <w:szCs w:val="22"/>
        </w:rPr>
        <w:t xml:space="preserve"> </w:t>
      </w:r>
      <w:r w:rsidRPr="002E6256">
        <w:rPr>
          <w:b w:val="0"/>
          <w:sz w:val="22"/>
          <w:szCs w:val="22"/>
        </w:rPr>
        <w:t>similar in membership and function to a guideline project committee except that the committee has a continuing assignment of duties and responsibilities with respect to a guideline.  It is expected to provide addenda as needed, generate revisions on a regular basis and render interpretations.</w:t>
      </w:r>
    </w:p>
    <w:p w14:paraId="073B78C2" w14:textId="77777777" w:rsidR="0030044C" w:rsidRPr="00C30ED9" w:rsidRDefault="0030044C" w:rsidP="0030044C">
      <w:pPr>
        <w:pStyle w:val="BodyText3"/>
        <w:jc w:val="both"/>
        <w:rPr>
          <w:sz w:val="22"/>
          <w:szCs w:val="22"/>
          <w:highlight w:val="cyan"/>
        </w:rPr>
      </w:pPr>
    </w:p>
    <w:p w14:paraId="0F94587C" w14:textId="77777777" w:rsidR="0030044C" w:rsidRPr="002E6256" w:rsidRDefault="0030044C" w:rsidP="0030044C">
      <w:pPr>
        <w:pStyle w:val="BodyText3"/>
        <w:jc w:val="both"/>
        <w:rPr>
          <w:b w:val="0"/>
          <w:sz w:val="22"/>
          <w:szCs w:val="22"/>
        </w:rPr>
      </w:pPr>
      <w:r w:rsidRPr="002E6256">
        <w:rPr>
          <w:sz w:val="22"/>
          <w:szCs w:val="22"/>
        </w:rPr>
        <w:t xml:space="preserve">Standing Standard Project Committee (SSPC):  </w:t>
      </w:r>
      <w:r w:rsidRPr="002E6256">
        <w:rPr>
          <w:b w:val="0"/>
          <w:sz w:val="22"/>
          <w:szCs w:val="22"/>
        </w:rPr>
        <w:t>a committee similar in membership and function to a standard project committee except that the committee has a continuing assignment of duties and responsibilities with respect to a standard.  It is expected to provide addenda as needed, generate revisions on a regular basis and render interpretations.</w:t>
      </w:r>
    </w:p>
    <w:p w14:paraId="491354C1" w14:textId="77777777" w:rsidR="0030044C" w:rsidRPr="002E6256" w:rsidRDefault="0030044C">
      <w:pPr>
        <w:pStyle w:val="BodyText3"/>
        <w:jc w:val="both"/>
        <w:rPr>
          <w:rFonts w:ascii="Times New Roman" w:hAnsi="Times New Roman"/>
          <w:b w:val="0"/>
          <w:sz w:val="22"/>
          <w:szCs w:val="22"/>
        </w:rPr>
      </w:pPr>
    </w:p>
    <w:p w14:paraId="05A74370" w14:textId="77777777" w:rsidR="00A638DE" w:rsidRPr="0027207F" w:rsidRDefault="002A1AC6" w:rsidP="00A638DE">
      <w:pPr>
        <w:pStyle w:val="BodyText3"/>
        <w:jc w:val="both"/>
        <w:rPr>
          <w:rFonts w:ascii="Times New Roman" w:hAnsi="Times New Roman"/>
          <w:b w:val="0"/>
          <w:sz w:val="22"/>
          <w:szCs w:val="22"/>
        </w:rPr>
      </w:pPr>
      <w:r>
        <w:rPr>
          <w:rFonts w:ascii="Times New Roman" w:hAnsi="Times New Roman"/>
          <w:sz w:val="22"/>
          <w:szCs w:val="22"/>
        </w:rPr>
        <w:t>s</w:t>
      </w:r>
      <w:r w:rsidR="00A638DE" w:rsidRPr="00A638DE">
        <w:rPr>
          <w:rFonts w:ascii="Times New Roman" w:hAnsi="Times New Roman"/>
          <w:sz w:val="22"/>
          <w:szCs w:val="22"/>
        </w:rPr>
        <w:t>tandard:</w:t>
      </w:r>
      <w:r w:rsidR="002E6256">
        <w:rPr>
          <w:rFonts w:ascii="Times New Roman" w:hAnsi="Times New Roman"/>
          <w:sz w:val="22"/>
          <w:szCs w:val="22"/>
        </w:rPr>
        <w:t xml:space="preserve"> </w:t>
      </w:r>
      <w:r w:rsidR="002E6256" w:rsidRPr="002E6256">
        <w:rPr>
          <w:rFonts w:ascii="Times New Roman" w:hAnsi="Times New Roman"/>
          <w:b w:val="0"/>
          <w:sz w:val="22"/>
          <w:szCs w:val="22"/>
        </w:rPr>
        <w:t>a</w:t>
      </w:r>
      <w:r w:rsidR="00A638DE" w:rsidRPr="002E6256">
        <w:rPr>
          <w:rFonts w:ascii="Times New Roman" w:hAnsi="Times New Roman"/>
          <w:b w:val="0"/>
          <w:sz w:val="22"/>
          <w:szCs w:val="22"/>
        </w:rPr>
        <w:t xml:space="preserve"> </w:t>
      </w:r>
      <w:r w:rsidR="00A638DE" w:rsidRPr="00A638DE">
        <w:rPr>
          <w:rFonts w:ascii="Times New Roman" w:hAnsi="Times New Roman"/>
          <w:b w:val="0"/>
          <w:sz w:val="22"/>
          <w:szCs w:val="22"/>
        </w:rPr>
        <w:t>standard is a document established by authority or rule that defines properties, processes, dimensions, materials, relationships, procedures, concepts, or nomenclature.  Adherence to due process in its development and achievement of consensus are conditions of approval.  See 1.1.3 for classification of standards.</w:t>
      </w:r>
    </w:p>
    <w:p w14:paraId="7CD2D28F" w14:textId="77777777" w:rsidR="00A638DE" w:rsidRPr="00AE2400" w:rsidRDefault="00A638DE">
      <w:pPr>
        <w:pStyle w:val="BodyText3"/>
        <w:jc w:val="both"/>
        <w:rPr>
          <w:rFonts w:ascii="Times New Roman" w:hAnsi="Times New Roman"/>
          <w:b w:val="0"/>
          <w:sz w:val="22"/>
          <w:szCs w:val="22"/>
        </w:rPr>
      </w:pPr>
    </w:p>
    <w:p w14:paraId="3EE4C4F7" w14:textId="77777777" w:rsidR="00E0453A" w:rsidRPr="00EA19D8" w:rsidRDefault="002A1AC6" w:rsidP="00E0453A">
      <w:pPr>
        <w:autoSpaceDE w:val="0"/>
        <w:autoSpaceDN w:val="0"/>
        <w:adjustRightInd w:val="0"/>
        <w:rPr>
          <w:sz w:val="22"/>
          <w:szCs w:val="22"/>
        </w:rPr>
      </w:pPr>
      <w:r>
        <w:rPr>
          <w:b/>
          <w:sz w:val="22"/>
          <w:szCs w:val="22"/>
        </w:rPr>
        <w:t>u</w:t>
      </w:r>
      <w:r w:rsidR="00E0453A">
        <w:rPr>
          <w:b/>
          <w:sz w:val="22"/>
          <w:szCs w:val="22"/>
        </w:rPr>
        <w:t xml:space="preserve">ser </w:t>
      </w:r>
      <w:r>
        <w:rPr>
          <w:b/>
          <w:sz w:val="22"/>
          <w:szCs w:val="22"/>
        </w:rPr>
        <w:t>m</w:t>
      </w:r>
      <w:r w:rsidR="00E0453A">
        <w:rPr>
          <w:b/>
          <w:sz w:val="22"/>
          <w:szCs w:val="22"/>
        </w:rPr>
        <w:t xml:space="preserve">anuals:  </w:t>
      </w:r>
      <w:r w:rsidR="00E0453A" w:rsidRPr="00EA19D8">
        <w:rPr>
          <w:b/>
          <w:sz w:val="22"/>
          <w:szCs w:val="22"/>
        </w:rPr>
        <w:t xml:space="preserve"> </w:t>
      </w:r>
      <w:r w:rsidR="00E0453A" w:rsidRPr="00EA19D8">
        <w:rPr>
          <w:sz w:val="22"/>
          <w:szCs w:val="22"/>
        </w:rPr>
        <w:t>User Manuals provide detailed design applications, with more practical examples and solutions, and inherently go above and beyond the performance requirements of a Design Standard or Guideline or minimum compliance level. A User Manual is not necessarily the standard of care and does not cover all potential alternatives</w:t>
      </w:r>
      <w:r w:rsidR="00E0453A" w:rsidRPr="000657CF">
        <w:rPr>
          <w:sz w:val="22"/>
          <w:szCs w:val="22"/>
        </w:rPr>
        <w:t>. A User Manual is often</w:t>
      </w:r>
      <w:r w:rsidR="00E0453A" w:rsidRPr="00EA19D8">
        <w:rPr>
          <w:sz w:val="22"/>
          <w:szCs w:val="22"/>
        </w:rPr>
        <w:t xml:space="preserve"> used for educational purposes.</w:t>
      </w:r>
      <w:r w:rsidR="008A23F1">
        <w:rPr>
          <w:sz w:val="22"/>
          <w:szCs w:val="22"/>
        </w:rPr>
        <w:t xml:space="preserve">  </w:t>
      </w:r>
    </w:p>
    <w:p w14:paraId="69650BDF" w14:textId="77777777" w:rsidR="00E0453A" w:rsidRPr="0034427C" w:rsidRDefault="00E0453A">
      <w:pPr>
        <w:pStyle w:val="BodyText3"/>
        <w:jc w:val="both"/>
        <w:rPr>
          <w:rFonts w:ascii="Times New Roman" w:hAnsi="Times New Roman"/>
          <w:b w:val="0"/>
          <w:sz w:val="22"/>
          <w:szCs w:val="22"/>
        </w:rPr>
      </w:pPr>
    </w:p>
    <w:p w14:paraId="6485698A" w14:textId="77777777" w:rsidR="00902D4A" w:rsidRPr="00633598" w:rsidRDefault="00902D4A" w:rsidP="00CB2107">
      <w:pPr>
        <w:pStyle w:val="StyleHeading2TimesNewRomanJustified"/>
        <w:rPr>
          <w:sz w:val="20"/>
        </w:rPr>
      </w:pPr>
    </w:p>
    <w:p w14:paraId="6D2EB2D0" w14:textId="77777777" w:rsidR="00902D4A" w:rsidRPr="0034427C" w:rsidRDefault="00902D4A" w:rsidP="00D53EA1">
      <w:pPr>
        <w:rPr>
          <w:b/>
          <w:sz w:val="22"/>
          <w:szCs w:val="22"/>
        </w:rPr>
      </w:pPr>
    </w:p>
    <w:p w14:paraId="338ED40B" w14:textId="77777777" w:rsidR="004C6BE6" w:rsidRDefault="004C6BE6" w:rsidP="0056531B">
      <w:pPr>
        <w:pStyle w:val="BodyText"/>
        <w:jc w:val="center"/>
        <w:outlineLvl w:val="0"/>
        <w:rPr>
          <w:rFonts w:ascii="Times New Roman" w:hAnsi="Times New Roman"/>
        </w:rPr>
      </w:pPr>
    </w:p>
    <w:p w14:paraId="096974DA" w14:textId="77777777" w:rsidR="00455985" w:rsidRPr="00455985" w:rsidRDefault="004C6BE6" w:rsidP="002B7EA8">
      <w:pPr>
        <w:jc w:val="center"/>
        <w:outlineLvl w:val="0"/>
      </w:pPr>
      <w:r>
        <w:br w:type="page"/>
      </w:r>
      <w:bookmarkStart w:id="40" w:name="c47"/>
      <w:bookmarkStart w:id="41" w:name="_E-1.1_Purpose"/>
      <w:bookmarkStart w:id="42" w:name="H"/>
      <w:bookmarkStart w:id="43" w:name="R"/>
      <w:bookmarkEnd w:id="40"/>
      <w:bookmarkEnd w:id="41"/>
      <w:bookmarkEnd w:id="42"/>
      <w:bookmarkEnd w:id="43"/>
      <w:r w:rsidR="002B7EA8">
        <w:lastRenderedPageBreak/>
        <w:t>This is a</w:t>
      </w:r>
      <w:r w:rsidR="00455985" w:rsidRPr="00455985">
        <w:t xml:space="preserve"> normative </w:t>
      </w:r>
      <w:r w:rsidR="00064FB7">
        <w:t>Appendix</w:t>
      </w:r>
      <w:r w:rsidR="00455985" w:rsidRPr="00455985">
        <w:t xml:space="preserve"> is par</w:t>
      </w:r>
      <w:r w:rsidR="00342642">
        <w:t>t of the Standards Committee MOP</w:t>
      </w:r>
    </w:p>
    <w:p w14:paraId="2DB49448" w14:textId="77777777" w:rsidR="00455985" w:rsidRPr="00455985" w:rsidRDefault="00455985" w:rsidP="00455985"/>
    <w:p w14:paraId="03A953C5" w14:textId="77777777" w:rsidR="00D91396" w:rsidRDefault="00064FB7" w:rsidP="00AE788E">
      <w:pPr>
        <w:pStyle w:val="Heading1"/>
      </w:pPr>
      <w:bookmarkStart w:id="44" w:name="_Toc141507189"/>
      <w:bookmarkStart w:id="45" w:name="_Toc282768714"/>
      <w:bookmarkStart w:id="46" w:name="_Toc132295470"/>
      <w:r>
        <w:t>APPENDIX</w:t>
      </w:r>
      <w:bookmarkStart w:id="47" w:name="_Toc141507192"/>
      <w:bookmarkEnd w:id="44"/>
      <w:r w:rsidR="0056531B">
        <w:t xml:space="preserve"> </w:t>
      </w:r>
      <w:r w:rsidR="00D91396" w:rsidRPr="00633598">
        <w:t>Summary of StdC MOP Changes</w:t>
      </w:r>
      <w:bookmarkEnd w:id="45"/>
      <w:bookmarkEnd w:id="47"/>
      <w:bookmarkEnd w:id="46"/>
    </w:p>
    <w:p w14:paraId="11FF563B" w14:textId="77777777" w:rsidR="00455985" w:rsidRPr="00455985" w:rsidRDefault="00455985" w:rsidP="00455985"/>
    <w:p w14:paraId="0B9BC89D" w14:textId="77777777" w:rsidR="00D91396" w:rsidRPr="00633598" w:rsidRDefault="00D91396" w:rsidP="00D91396">
      <w:pPr>
        <w:pStyle w:val="Title"/>
        <w:rPr>
          <w:rFonts w:ascii="Times New Roman" w:hAnsi="Times New Roman"/>
          <w:b w:val="0"/>
        </w:rPr>
      </w:pPr>
      <w:bookmarkStart w:id="48" w:name="changes"/>
      <w:bookmarkEnd w:id="48"/>
      <w:r w:rsidRPr="00633598">
        <w:rPr>
          <w:rFonts w:ascii="Times New Roman" w:hAnsi="Times New Roman"/>
          <w:b w:val="0"/>
        </w:rPr>
        <w:t>The Table below gives a summary of  MOP Changes beginning February 2000.</w:t>
      </w:r>
    </w:p>
    <w:p w14:paraId="726BE4D5" w14:textId="77777777" w:rsidR="00D91396" w:rsidRPr="00633598" w:rsidRDefault="00D91396" w:rsidP="00D91396">
      <w:pPr>
        <w:pStyle w:val="Title"/>
        <w:jc w:val="both"/>
        <w:rPr>
          <w:rFonts w:ascii="Times New Roman" w:hAnsi="Times New Roman"/>
          <w:b w:val="0"/>
        </w:rPr>
      </w:pPr>
    </w:p>
    <w:tbl>
      <w:tblPr>
        <w:tblW w:w="10260" w:type="dxa"/>
        <w:tblInd w:w="18" w:type="dxa"/>
        <w:tblLayout w:type="fixed"/>
        <w:tblLook w:val="0000" w:firstRow="0" w:lastRow="0" w:firstColumn="0" w:lastColumn="0" w:noHBand="0" w:noVBand="0"/>
      </w:tblPr>
      <w:tblGrid>
        <w:gridCol w:w="1440"/>
        <w:gridCol w:w="6570"/>
        <w:gridCol w:w="2250"/>
      </w:tblGrid>
      <w:tr w:rsidR="00F04243" w:rsidRPr="00F04243" w14:paraId="082B6EFB" w14:textId="77777777">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3036A941" w14:textId="77777777" w:rsidR="00F04243" w:rsidRPr="00F04243" w:rsidRDefault="00F04243" w:rsidP="00747C6D">
            <w:pPr>
              <w:pStyle w:val="BodyText"/>
              <w:jc w:val="center"/>
              <w:rPr>
                <w:rFonts w:ascii="Times New Roman" w:hAnsi="Times New Roman"/>
                <w:b/>
                <w:bCs/>
                <w:i/>
              </w:rPr>
            </w:pPr>
            <w:r w:rsidRPr="00F04243">
              <w:rPr>
                <w:rFonts w:ascii="Times New Roman" w:hAnsi="Times New Roman"/>
                <w:b/>
                <w:bCs/>
                <w:i/>
              </w:rPr>
              <w:br w:type="page"/>
            </w:r>
            <w:r w:rsidRPr="00F04243">
              <w:rPr>
                <w:rFonts w:ascii="Times New Roman" w:hAnsi="Times New Roman"/>
                <w:b/>
                <w:bCs/>
                <w:i/>
              </w:rPr>
              <w:br w:type="page"/>
            </w:r>
            <w:r w:rsidRPr="00F04243">
              <w:rPr>
                <w:rFonts w:ascii="Times New Roman" w:hAnsi="Times New Roman"/>
                <w:b/>
                <w:bCs/>
                <w:i/>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3C07EF6A" w14:textId="77777777" w:rsidR="00F04243" w:rsidRPr="00AE0440" w:rsidRDefault="00F04243" w:rsidP="00747C6D">
            <w:pPr>
              <w:jc w:val="center"/>
              <w:rPr>
                <w:b/>
                <w:i/>
                <w:sz w:val="20"/>
              </w:rPr>
            </w:pPr>
            <w:r w:rsidRPr="00AE0440">
              <w:rPr>
                <w:b/>
                <w:i/>
                <w:sz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17789651" w14:textId="77777777" w:rsidR="00F04243" w:rsidRPr="00F04243" w:rsidRDefault="00F04243" w:rsidP="00747C6D">
            <w:pPr>
              <w:jc w:val="center"/>
              <w:rPr>
                <w:b/>
                <w:bCs/>
                <w:i/>
                <w:sz w:val="20"/>
              </w:rPr>
            </w:pPr>
            <w:r w:rsidRPr="00F04243">
              <w:rPr>
                <w:b/>
                <w:bCs/>
                <w:i/>
                <w:sz w:val="20"/>
              </w:rPr>
              <w:t>Approval Date</w:t>
            </w:r>
          </w:p>
        </w:tc>
      </w:tr>
      <w:tr w:rsidR="00D91396" w:rsidRPr="00633598" w14:paraId="5EF71B33" w14:textId="77777777">
        <w:trPr>
          <w:trHeight w:val="990"/>
        </w:trPr>
        <w:tc>
          <w:tcPr>
            <w:tcW w:w="1440" w:type="dxa"/>
            <w:tcBorders>
              <w:top w:val="single" w:sz="4" w:space="0" w:color="auto"/>
              <w:left w:val="single" w:sz="4" w:space="0" w:color="auto"/>
              <w:bottom w:val="single" w:sz="4" w:space="0" w:color="auto"/>
              <w:right w:val="single" w:sz="4" w:space="0" w:color="auto"/>
            </w:tcBorders>
          </w:tcPr>
          <w:p w14:paraId="054D4697" w14:textId="77777777" w:rsidR="00D91396" w:rsidRPr="00633598" w:rsidRDefault="00D91396" w:rsidP="002A53CB">
            <w:pPr>
              <w:jc w:val="center"/>
              <w:rPr>
                <w:b/>
                <w:bCs/>
                <w:sz w:val="20"/>
              </w:rPr>
            </w:pPr>
          </w:p>
          <w:p w14:paraId="0099B333" w14:textId="77777777" w:rsidR="00D91396" w:rsidRPr="00633598" w:rsidRDefault="00D91396" w:rsidP="002A53CB">
            <w:pPr>
              <w:jc w:val="center"/>
              <w:rPr>
                <w:b/>
                <w:bCs/>
                <w:sz w:val="20"/>
              </w:rPr>
            </w:pPr>
            <w:r w:rsidRPr="00633598">
              <w:rPr>
                <w:b/>
                <w:bCs/>
                <w:sz w:val="20"/>
              </w:rPr>
              <w:t>Original</w:t>
            </w:r>
          </w:p>
          <w:p w14:paraId="237C62AD" w14:textId="77777777" w:rsidR="00D91396" w:rsidRPr="00633598" w:rsidRDefault="00D91396" w:rsidP="002A53CB">
            <w:pPr>
              <w:jc w:val="center"/>
              <w:rPr>
                <w:sz w:val="20"/>
              </w:rPr>
            </w:pPr>
            <w:r w:rsidRPr="00633598">
              <w:rPr>
                <w:b/>
                <w:bCs/>
                <w:sz w:val="20"/>
              </w:rPr>
              <w:t>Release</w:t>
            </w:r>
          </w:p>
        </w:tc>
        <w:tc>
          <w:tcPr>
            <w:tcW w:w="6570" w:type="dxa"/>
            <w:tcBorders>
              <w:top w:val="single" w:sz="4" w:space="0" w:color="auto"/>
              <w:left w:val="single" w:sz="4" w:space="0" w:color="auto"/>
              <w:bottom w:val="single" w:sz="4" w:space="0" w:color="auto"/>
              <w:right w:val="single" w:sz="4" w:space="0" w:color="auto"/>
            </w:tcBorders>
          </w:tcPr>
          <w:p w14:paraId="75E254B2" w14:textId="77777777" w:rsidR="00D91396" w:rsidRPr="00633598" w:rsidRDefault="00D91396" w:rsidP="002A53CB">
            <w:pPr>
              <w:rPr>
                <w:sz w:val="20"/>
              </w:rPr>
            </w:pPr>
          </w:p>
          <w:p w14:paraId="06D831CF" w14:textId="77777777" w:rsidR="00D91396" w:rsidRPr="00633598" w:rsidRDefault="00D91396" w:rsidP="002A53CB">
            <w:pPr>
              <w:rPr>
                <w:sz w:val="20"/>
              </w:rPr>
            </w:pPr>
            <w:r w:rsidRPr="00633598">
              <w:rPr>
                <w:sz w:val="20"/>
              </w:rPr>
              <w:t>The original edition of  the Manual of Procedures (MOP</w:t>
            </w:r>
            <w:r w:rsidRPr="00633598">
              <w:rPr>
                <w:i/>
                <w:sz w:val="20"/>
              </w:rPr>
              <w:t xml:space="preserve">) </w:t>
            </w:r>
            <w:r w:rsidRPr="00633598">
              <w:rPr>
                <w:sz w:val="20"/>
              </w:rPr>
              <w:t>was approved by Technology Council on June 29, 1994.</w:t>
            </w:r>
          </w:p>
          <w:p w14:paraId="2EFB74BE" w14:textId="77777777" w:rsidR="00D91396" w:rsidRPr="00633598" w:rsidRDefault="00D91396" w:rsidP="002A53CB">
            <w:pPr>
              <w:rPr>
                <w:sz w:val="20"/>
              </w:rPr>
            </w:pPr>
          </w:p>
        </w:tc>
        <w:tc>
          <w:tcPr>
            <w:tcW w:w="2250" w:type="dxa"/>
            <w:tcBorders>
              <w:top w:val="single" w:sz="4" w:space="0" w:color="auto"/>
              <w:left w:val="single" w:sz="4" w:space="0" w:color="auto"/>
              <w:bottom w:val="single" w:sz="4" w:space="0" w:color="auto"/>
              <w:right w:val="single" w:sz="4" w:space="0" w:color="auto"/>
            </w:tcBorders>
          </w:tcPr>
          <w:p w14:paraId="7FBA6CBE" w14:textId="77777777" w:rsidR="00F04243" w:rsidRDefault="00F04243" w:rsidP="00B75109">
            <w:pPr>
              <w:jc w:val="center"/>
              <w:rPr>
                <w:b/>
                <w:sz w:val="20"/>
              </w:rPr>
            </w:pPr>
            <w:bookmarkStart w:id="49" w:name="_Toc508073785"/>
          </w:p>
          <w:p w14:paraId="2DEABF6B" w14:textId="77777777" w:rsidR="0056531B" w:rsidRDefault="00D91396" w:rsidP="00B75109">
            <w:pPr>
              <w:jc w:val="center"/>
              <w:rPr>
                <w:b/>
                <w:sz w:val="20"/>
              </w:rPr>
            </w:pPr>
            <w:proofErr w:type="spellStart"/>
            <w:r w:rsidRPr="00633598">
              <w:rPr>
                <w:b/>
                <w:sz w:val="20"/>
              </w:rPr>
              <w:t>TechC</w:t>
            </w:r>
            <w:proofErr w:type="spellEnd"/>
            <w:r w:rsidRPr="00633598">
              <w:rPr>
                <w:b/>
                <w:sz w:val="20"/>
              </w:rPr>
              <w:t xml:space="preserve"> </w:t>
            </w:r>
          </w:p>
          <w:p w14:paraId="21BE323B" w14:textId="77777777" w:rsidR="00D91396" w:rsidRPr="00633598" w:rsidRDefault="00D91396" w:rsidP="00B75109">
            <w:pPr>
              <w:jc w:val="center"/>
              <w:rPr>
                <w:b/>
                <w:bCs/>
                <w:sz w:val="20"/>
              </w:rPr>
            </w:pPr>
            <w:r w:rsidRPr="00633598">
              <w:rPr>
                <w:b/>
                <w:sz w:val="20"/>
              </w:rPr>
              <w:t>June 29, 1994</w:t>
            </w:r>
            <w:bookmarkEnd w:id="49"/>
          </w:p>
          <w:p w14:paraId="1899CA6B" w14:textId="77777777" w:rsidR="00D91396" w:rsidRPr="00633598" w:rsidRDefault="00D91396" w:rsidP="00B75109">
            <w:pPr>
              <w:jc w:val="center"/>
              <w:rPr>
                <w:b/>
                <w:bCs/>
                <w:sz w:val="20"/>
              </w:rPr>
            </w:pPr>
          </w:p>
        </w:tc>
      </w:tr>
      <w:tr w:rsidR="00D91396" w:rsidRPr="00633598" w14:paraId="1B236F55"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48DB536F" w14:textId="77777777" w:rsidR="00D91396" w:rsidRPr="00633598" w:rsidRDefault="0056531B" w:rsidP="002A53CB">
            <w:pPr>
              <w:jc w:val="center"/>
              <w:rPr>
                <w:b/>
                <w:bCs/>
                <w:sz w:val="20"/>
              </w:rPr>
            </w:pPr>
            <w:r>
              <w:rPr>
                <w:b/>
                <w:bCs/>
                <w:sz w:val="20"/>
              </w:rPr>
              <w:t>Total Revision</w:t>
            </w:r>
          </w:p>
        </w:tc>
        <w:tc>
          <w:tcPr>
            <w:tcW w:w="6570" w:type="dxa"/>
            <w:tcBorders>
              <w:top w:val="single" w:sz="4" w:space="0" w:color="auto"/>
              <w:left w:val="single" w:sz="4" w:space="0" w:color="auto"/>
              <w:bottom w:val="single" w:sz="4" w:space="0" w:color="auto"/>
              <w:right w:val="single" w:sz="4" w:space="0" w:color="auto"/>
            </w:tcBorders>
          </w:tcPr>
          <w:p w14:paraId="211CB659" w14:textId="77777777" w:rsidR="00D91396" w:rsidRPr="00633598" w:rsidRDefault="0056531B" w:rsidP="0036341D">
            <w:pPr>
              <w:jc w:val="both"/>
              <w:rPr>
                <w:sz w:val="20"/>
              </w:rPr>
            </w:pPr>
            <w:r>
              <w:rPr>
                <w:sz w:val="20"/>
              </w:rPr>
              <w:t xml:space="preserve">The </w:t>
            </w:r>
            <w:proofErr w:type="spellStart"/>
            <w:r>
              <w:rPr>
                <w:sz w:val="20"/>
              </w:rPr>
              <w:t>StdC</w:t>
            </w:r>
            <w:proofErr w:type="spellEnd"/>
            <w:r>
              <w:rPr>
                <w:sz w:val="20"/>
              </w:rPr>
              <w:t xml:space="preserve"> Manual of Procedures was revised and approved </w:t>
            </w:r>
            <w:r w:rsidR="0036341D">
              <w:rPr>
                <w:sz w:val="20"/>
              </w:rPr>
              <w:t>by Technology Council on</w:t>
            </w:r>
            <w:r>
              <w:rPr>
                <w:sz w:val="20"/>
              </w:rPr>
              <w:t xml:space="preserve"> </w:t>
            </w:r>
            <w:r w:rsidR="0036341D">
              <w:rPr>
                <w:sz w:val="20"/>
              </w:rPr>
              <w:t>June 28, 2011.</w:t>
            </w:r>
          </w:p>
        </w:tc>
        <w:tc>
          <w:tcPr>
            <w:tcW w:w="2250" w:type="dxa"/>
            <w:tcBorders>
              <w:top w:val="single" w:sz="4" w:space="0" w:color="auto"/>
              <w:left w:val="single" w:sz="4" w:space="0" w:color="auto"/>
              <w:bottom w:val="single" w:sz="4" w:space="0" w:color="auto"/>
              <w:right w:val="single" w:sz="4" w:space="0" w:color="auto"/>
            </w:tcBorders>
          </w:tcPr>
          <w:p w14:paraId="658C32D2" w14:textId="77777777" w:rsidR="0056531B" w:rsidRDefault="0056531B" w:rsidP="00B75109">
            <w:pPr>
              <w:jc w:val="center"/>
              <w:rPr>
                <w:b/>
                <w:sz w:val="20"/>
              </w:rPr>
            </w:pPr>
            <w:proofErr w:type="spellStart"/>
            <w:r>
              <w:rPr>
                <w:b/>
                <w:sz w:val="20"/>
              </w:rPr>
              <w:t>StdC</w:t>
            </w:r>
            <w:proofErr w:type="spellEnd"/>
            <w:r>
              <w:rPr>
                <w:b/>
                <w:sz w:val="20"/>
              </w:rPr>
              <w:t xml:space="preserve"> </w:t>
            </w:r>
          </w:p>
          <w:p w14:paraId="4E868EDC" w14:textId="77777777" w:rsidR="0098430D" w:rsidRPr="00633598" w:rsidRDefault="0036341D" w:rsidP="0036341D">
            <w:pPr>
              <w:jc w:val="center"/>
              <w:rPr>
                <w:b/>
                <w:sz w:val="20"/>
              </w:rPr>
            </w:pPr>
            <w:r>
              <w:rPr>
                <w:b/>
                <w:sz w:val="20"/>
              </w:rPr>
              <w:t>June 28, 2011</w:t>
            </w:r>
          </w:p>
        </w:tc>
      </w:tr>
      <w:tr w:rsidR="00EA16E0" w:rsidRPr="00633598" w14:paraId="17389E16"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3972C873" w14:textId="77777777" w:rsidR="00EA16E0" w:rsidRDefault="002A2473" w:rsidP="002A2473">
            <w:pPr>
              <w:jc w:val="center"/>
              <w:rPr>
                <w:b/>
                <w:bCs/>
                <w:sz w:val="20"/>
              </w:rPr>
            </w:pPr>
            <w:r>
              <w:rPr>
                <w:b/>
                <w:bCs/>
                <w:sz w:val="20"/>
              </w:rPr>
              <w:t>6.2.2.2</w:t>
            </w:r>
            <w:r w:rsidR="00EA16E0">
              <w:rPr>
                <w:b/>
                <w:bCs/>
                <w:sz w:val="20"/>
              </w:rPr>
              <w:t xml:space="preserve"> and </w:t>
            </w:r>
            <w:r>
              <w:rPr>
                <w:b/>
                <w:bCs/>
                <w:sz w:val="20"/>
              </w:rPr>
              <w:t>6.2.2.3</w:t>
            </w:r>
          </w:p>
        </w:tc>
        <w:tc>
          <w:tcPr>
            <w:tcW w:w="6570" w:type="dxa"/>
            <w:tcBorders>
              <w:top w:val="single" w:sz="4" w:space="0" w:color="auto"/>
              <w:left w:val="single" w:sz="4" w:space="0" w:color="auto"/>
              <w:bottom w:val="single" w:sz="4" w:space="0" w:color="auto"/>
              <w:right w:val="single" w:sz="4" w:space="0" w:color="auto"/>
            </w:tcBorders>
          </w:tcPr>
          <w:p w14:paraId="0380C2F1" w14:textId="77777777" w:rsidR="00EA16E0" w:rsidRDefault="00EA16E0" w:rsidP="0036341D">
            <w:pPr>
              <w:jc w:val="both"/>
              <w:rPr>
                <w:sz w:val="20"/>
              </w:rPr>
            </w:pPr>
            <w:r>
              <w:rPr>
                <w:sz w:val="20"/>
              </w:rPr>
              <w:t xml:space="preserve">New sections were added regarding adaptation and adoption of International organizations or entities. </w:t>
            </w:r>
          </w:p>
        </w:tc>
        <w:tc>
          <w:tcPr>
            <w:tcW w:w="2250" w:type="dxa"/>
            <w:tcBorders>
              <w:top w:val="single" w:sz="4" w:space="0" w:color="auto"/>
              <w:left w:val="single" w:sz="4" w:space="0" w:color="auto"/>
              <w:bottom w:val="single" w:sz="4" w:space="0" w:color="auto"/>
              <w:right w:val="single" w:sz="4" w:space="0" w:color="auto"/>
            </w:tcBorders>
          </w:tcPr>
          <w:p w14:paraId="7DC33EE2" w14:textId="77777777" w:rsidR="00EA16E0" w:rsidRDefault="00EA16E0" w:rsidP="00B75109">
            <w:pPr>
              <w:jc w:val="center"/>
              <w:rPr>
                <w:b/>
                <w:sz w:val="20"/>
              </w:rPr>
            </w:pPr>
            <w:r>
              <w:rPr>
                <w:b/>
                <w:sz w:val="20"/>
              </w:rPr>
              <w:t>Operations</w:t>
            </w:r>
          </w:p>
          <w:p w14:paraId="4650722A" w14:textId="77777777" w:rsidR="00EA16E0" w:rsidRDefault="00EA16E0" w:rsidP="00B75109">
            <w:pPr>
              <w:jc w:val="center"/>
              <w:rPr>
                <w:b/>
                <w:sz w:val="20"/>
              </w:rPr>
            </w:pPr>
            <w:r>
              <w:rPr>
                <w:b/>
                <w:sz w:val="20"/>
              </w:rPr>
              <w:t>July 1, 2014</w:t>
            </w:r>
          </w:p>
        </w:tc>
      </w:tr>
      <w:tr w:rsidR="00EA16E0" w:rsidRPr="00633598" w14:paraId="7FF77A53"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721569E3" w14:textId="77777777" w:rsidR="00EA16E0" w:rsidRDefault="002A2473" w:rsidP="002A53CB">
            <w:pPr>
              <w:jc w:val="center"/>
              <w:rPr>
                <w:b/>
                <w:bCs/>
                <w:sz w:val="20"/>
              </w:rPr>
            </w:pPr>
            <w:r>
              <w:rPr>
                <w:b/>
                <w:bCs/>
                <w:sz w:val="20"/>
              </w:rPr>
              <w:t>Appendi</w:t>
            </w:r>
            <w:r w:rsidR="00EA16E0">
              <w:rPr>
                <w:b/>
                <w:bCs/>
                <w:sz w:val="20"/>
              </w:rPr>
              <w:t>x A</w:t>
            </w:r>
          </w:p>
        </w:tc>
        <w:tc>
          <w:tcPr>
            <w:tcW w:w="6570" w:type="dxa"/>
            <w:tcBorders>
              <w:top w:val="single" w:sz="4" w:space="0" w:color="auto"/>
              <w:left w:val="single" w:sz="4" w:space="0" w:color="auto"/>
              <w:bottom w:val="single" w:sz="4" w:space="0" w:color="auto"/>
              <w:right w:val="single" w:sz="4" w:space="0" w:color="auto"/>
            </w:tcBorders>
          </w:tcPr>
          <w:p w14:paraId="3A8C16A3" w14:textId="77777777" w:rsidR="00EA16E0" w:rsidRDefault="005B5E8B" w:rsidP="0036341D">
            <w:pPr>
              <w:jc w:val="both"/>
              <w:rPr>
                <w:sz w:val="20"/>
              </w:rPr>
            </w:pPr>
            <w:r>
              <w:rPr>
                <w:sz w:val="20"/>
              </w:rPr>
              <w:t>Definitions adaptation and adoption were included.</w:t>
            </w:r>
          </w:p>
        </w:tc>
        <w:tc>
          <w:tcPr>
            <w:tcW w:w="2250" w:type="dxa"/>
            <w:tcBorders>
              <w:top w:val="single" w:sz="4" w:space="0" w:color="auto"/>
              <w:left w:val="single" w:sz="4" w:space="0" w:color="auto"/>
              <w:bottom w:val="single" w:sz="4" w:space="0" w:color="auto"/>
              <w:right w:val="single" w:sz="4" w:space="0" w:color="auto"/>
            </w:tcBorders>
          </w:tcPr>
          <w:p w14:paraId="2B4D37B8" w14:textId="77777777" w:rsidR="00EA16E0" w:rsidRDefault="005B5E8B" w:rsidP="00B75109">
            <w:pPr>
              <w:jc w:val="center"/>
              <w:rPr>
                <w:b/>
                <w:sz w:val="20"/>
              </w:rPr>
            </w:pPr>
            <w:r>
              <w:rPr>
                <w:b/>
                <w:sz w:val="20"/>
              </w:rPr>
              <w:t xml:space="preserve">Operations </w:t>
            </w:r>
          </w:p>
          <w:p w14:paraId="4C5F52C7" w14:textId="77777777" w:rsidR="005B5E8B" w:rsidRDefault="005B5E8B" w:rsidP="00B75109">
            <w:pPr>
              <w:jc w:val="center"/>
              <w:rPr>
                <w:b/>
                <w:sz w:val="20"/>
              </w:rPr>
            </w:pPr>
            <w:r>
              <w:rPr>
                <w:b/>
                <w:sz w:val="20"/>
              </w:rPr>
              <w:t>July 1, 2014</w:t>
            </w:r>
          </w:p>
        </w:tc>
      </w:tr>
      <w:tr w:rsidR="000C792E" w:rsidRPr="00633598" w14:paraId="5A4E4D63"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541CC0C8" w14:textId="77777777" w:rsidR="000C792E" w:rsidRPr="000C792E" w:rsidRDefault="000C792E" w:rsidP="002A53CB">
            <w:pPr>
              <w:jc w:val="center"/>
              <w:rPr>
                <w:b/>
                <w:bCs/>
                <w:sz w:val="20"/>
              </w:rPr>
            </w:pPr>
            <w:r w:rsidRPr="000C792E">
              <w:rPr>
                <w:b/>
                <w:bCs/>
                <w:sz w:val="20"/>
              </w:rPr>
              <w:t>7</w:t>
            </w:r>
          </w:p>
        </w:tc>
        <w:tc>
          <w:tcPr>
            <w:tcW w:w="6570" w:type="dxa"/>
            <w:tcBorders>
              <w:top w:val="single" w:sz="4" w:space="0" w:color="auto"/>
              <w:left w:val="single" w:sz="4" w:space="0" w:color="auto"/>
              <w:bottom w:val="single" w:sz="4" w:space="0" w:color="auto"/>
              <w:right w:val="single" w:sz="4" w:space="0" w:color="auto"/>
            </w:tcBorders>
          </w:tcPr>
          <w:p w14:paraId="6E1C9198" w14:textId="77777777" w:rsidR="000C792E" w:rsidRDefault="000C792E" w:rsidP="000C792E">
            <w:pPr>
              <w:jc w:val="both"/>
              <w:rPr>
                <w:sz w:val="20"/>
              </w:rPr>
            </w:pPr>
            <w:r>
              <w:rPr>
                <w:sz w:val="20"/>
              </w:rPr>
              <w:t xml:space="preserve">Approval Sequence for Standards Related Actions was revised to ensure clarity. Recommendations were made for when a PC exists and when no PC exists. </w:t>
            </w:r>
          </w:p>
        </w:tc>
        <w:tc>
          <w:tcPr>
            <w:tcW w:w="2250" w:type="dxa"/>
            <w:tcBorders>
              <w:top w:val="single" w:sz="4" w:space="0" w:color="auto"/>
              <w:left w:val="single" w:sz="4" w:space="0" w:color="auto"/>
              <w:bottom w:val="single" w:sz="4" w:space="0" w:color="auto"/>
              <w:right w:val="single" w:sz="4" w:space="0" w:color="auto"/>
            </w:tcBorders>
          </w:tcPr>
          <w:p w14:paraId="590A655C" w14:textId="77777777" w:rsidR="000C792E" w:rsidRDefault="000C792E" w:rsidP="000C792E">
            <w:pPr>
              <w:jc w:val="center"/>
              <w:rPr>
                <w:b/>
                <w:sz w:val="20"/>
              </w:rPr>
            </w:pPr>
            <w:r>
              <w:rPr>
                <w:b/>
                <w:sz w:val="20"/>
              </w:rPr>
              <w:t xml:space="preserve">Operations </w:t>
            </w:r>
          </w:p>
          <w:p w14:paraId="7EDF5F0C" w14:textId="77777777" w:rsidR="000C792E" w:rsidRDefault="000C792E" w:rsidP="00B75109">
            <w:pPr>
              <w:jc w:val="center"/>
              <w:rPr>
                <w:b/>
                <w:sz w:val="20"/>
              </w:rPr>
            </w:pPr>
            <w:r>
              <w:rPr>
                <w:b/>
                <w:sz w:val="20"/>
              </w:rPr>
              <w:t>October 6, 2014</w:t>
            </w:r>
          </w:p>
        </w:tc>
      </w:tr>
      <w:tr w:rsidR="00902028" w:rsidRPr="00633598" w14:paraId="77D577C4"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08FBBCE3" w14:textId="77777777" w:rsidR="00902028" w:rsidRPr="000C792E" w:rsidRDefault="00902028" w:rsidP="002A53CB">
            <w:pPr>
              <w:jc w:val="center"/>
              <w:rPr>
                <w:b/>
                <w:bCs/>
                <w:sz w:val="20"/>
              </w:rPr>
            </w:pPr>
            <w:r>
              <w:rPr>
                <w:b/>
                <w:bCs/>
                <w:sz w:val="20"/>
              </w:rPr>
              <w:t>7</w:t>
            </w:r>
          </w:p>
        </w:tc>
        <w:tc>
          <w:tcPr>
            <w:tcW w:w="6570" w:type="dxa"/>
            <w:tcBorders>
              <w:top w:val="single" w:sz="4" w:space="0" w:color="auto"/>
              <w:left w:val="single" w:sz="4" w:space="0" w:color="auto"/>
              <w:bottom w:val="single" w:sz="4" w:space="0" w:color="auto"/>
              <w:right w:val="single" w:sz="4" w:space="0" w:color="auto"/>
            </w:tcBorders>
          </w:tcPr>
          <w:p w14:paraId="3C8A15D9" w14:textId="77777777" w:rsidR="00902028" w:rsidRDefault="00902028" w:rsidP="000C792E">
            <w:pPr>
              <w:jc w:val="both"/>
              <w:rPr>
                <w:sz w:val="20"/>
              </w:rPr>
            </w:pPr>
            <w:r>
              <w:rPr>
                <w:sz w:val="20"/>
              </w:rPr>
              <w:t>Approval Sequence for Standards Related Actions was revised using the Gloria Rule to coincide with new requirements regarding publication approvals as stated in PASA 10/22/2014.</w:t>
            </w:r>
          </w:p>
        </w:tc>
        <w:tc>
          <w:tcPr>
            <w:tcW w:w="2250" w:type="dxa"/>
            <w:tcBorders>
              <w:top w:val="single" w:sz="4" w:space="0" w:color="auto"/>
              <w:left w:val="single" w:sz="4" w:space="0" w:color="auto"/>
              <w:bottom w:val="single" w:sz="4" w:space="0" w:color="auto"/>
              <w:right w:val="single" w:sz="4" w:space="0" w:color="auto"/>
            </w:tcBorders>
          </w:tcPr>
          <w:p w14:paraId="18750751" w14:textId="77777777" w:rsidR="00902028" w:rsidRDefault="00902028" w:rsidP="000C792E">
            <w:pPr>
              <w:jc w:val="center"/>
              <w:rPr>
                <w:b/>
                <w:sz w:val="20"/>
              </w:rPr>
            </w:pPr>
            <w:r>
              <w:rPr>
                <w:b/>
                <w:sz w:val="20"/>
              </w:rPr>
              <w:t>Gloria Rule</w:t>
            </w:r>
            <w:r w:rsidR="00AC769E">
              <w:rPr>
                <w:b/>
                <w:sz w:val="20"/>
              </w:rPr>
              <w:t>/Editorial</w:t>
            </w:r>
          </w:p>
          <w:p w14:paraId="5CA66DF7" w14:textId="77777777" w:rsidR="00902028" w:rsidRDefault="00902028" w:rsidP="000C792E">
            <w:pPr>
              <w:jc w:val="center"/>
              <w:rPr>
                <w:b/>
                <w:sz w:val="20"/>
              </w:rPr>
            </w:pPr>
            <w:r>
              <w:rPr>
                <w:b/>
                <w:sz w:val="20"/>
              </w:rPr>
              <w:t>October 29, 2014</w:t>
            </w:r>
          </w:p>
        </w:tc>
      </w:tr>
      <w:tr w:rsidR="00E1214E" w:rsidRPr="00633598" w14:paraId="4746C114"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53608EA4" w14:textId="77777777" w:rsidR="00E1214E" w:rsidRPr="000C792E" w:rsidRDefault="00E1214E" w:rsidP="00CD56A0">
            <w:pPr>
              <w:jc w:val="center"/>
              <w:rPr>
                <w:b/>
                <w:bCs/>
                <w:sz w:val="20"/>
              </w:rPr>
            </w:pPr>
            <w:r>
              <w:rPr>
                <w:b/>
                <w:bCs/>
                <w:sz w:val="20"/>
              </w:rPr>
              <w:t>7</w:t>
            </w:r>
          </w:p>
        </w:tc>
        <w:tc>
          <w:tcPr>
            <w:tcW w:w="6570" w:type="dxa"/>
            <w:tcBorders>
              <w:top w:val="single" w:sz="4" w:space="0" w:color="auto"/>
              <w:left w:val="single" w:sz="4" w:space="0" w:color="auto"/>
              <w:bottom w:val="single" w:sz="4" w:space="0" w:color="auto"/>
              <w:right w:val="single" w:sz="4" w:space="0" w:color="auto"/>
            </w:tcBorders>
          </w:tcPr>
          <w:p w14:paraId="3A4D0DE8" w14:textId="77777777" w:rsidR="00E1214E" w:rsidRDefault="00E1214E" w:rsidP="00CD56A0">
            <w:pPr>
              <w:jc w:val="both"/>
              <w:rPr>
                <w:sz w:val="20"/>
              </w:rPr>
            </w:pPr>
            <w:r>
              <w:rPr>
                <w:sz w:val="20"/>
              </w:rPr>
              <w:t>Approval Sequence for Standards Related Actions was revised using the Gloria Rule to coincide with new requirements regarding publication approvals as stated in PASA 10/22/2014.</w:t>
            </w:r>
          </w:p>
        </w:tc>
        <w:tc>
          <w:tcPr>
            <w:tcW w:w="2250" w:type="dxa"/>
            <w:tcBorders>
              <w:top w:val="single" w:sz="4" w:space="0" w:color="auto"/>
              <w:left w:val="single" w:sz="4" w:space="0" w:color="auto"/>
              <w:bottom w:val="single" w:sz="4" w:space="0" w:color="auto"/>
              <w:right w:val="single" w:sz="4" w:space="0" w:color="auto"/>
            </w:tcBorders>
          </w:tcPr>
          <w:p w14:paraId="391B5F70" w14:textId="77777777" w:rsidR="00E1214E" w:rsidRDefault="00E1214E" w:rsidP="00CD56A0">
            <w:pPr>
              <w:jc w:val="center"/>
              <w:rPr>
                <w:b/>
                <w:sz w:val="20"/>
              </w:rPr>
            </w:pPr>
            <w:r>
              <w:rPr>
                <w:b/>
                <w:sz w:val="20"/>
              </w:rPr>
              <w:t>Gloria Rule/Editorial</w:t>
            </w:r>
          </w:p>
          <w:p w14:paraId="6A292393" w14:textId="77777777" w:rsidR="00E1214E" w:rsidRDefault="005772B0" w:rsidP="00CD56A0">
            <w:pPr>
              <w:jc w:val="center"/>
              <w:rPr>
                <w:b/>
                <w:sz w:val="20"/>
              </w:rPr>
            </w:pPr>
            <w:r>
              <w:rPr>
                <w:b/>
                <w:sz w:val="20"/>
              </w:rPr>
              <w:t>March 19, 2015</w:t>
            </w:r>
          </w:p>
        </w:tc>
      </w:tr>
      <w:tr w:rsidR="00A85398" w:rsidRPr="00633598" w14:paraId="0D87A575"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0069EDB8" w14:textId="77777777" w:rsidR="00A85398" w:rsidRDefault="002258D7" w:rsidP="00CD56A0">
            <w:pPr>
              <w:jc w:val="center"/>
              <w:rPr>
                <w:b/>
                <w:bCs/>
                <w:sz w:val="20"/>
              </w:rPr>
            </w:pPr>
            <w:r>
              <w:rPr>
                <w:b/>
                <w:bCs/>
                <w:sz w:val="20"/>
              </w:rPr>
              <w:t>6.2.5</w:t>
            </w:r>
          </w:p>
        </w:tc>
        <w:tc>
          <w:tcPr>
            <w:tcW w:w="6570" w:type="dxa"/>
            <w:tcBorders>
              <w:top w:val="single" w:sz="4" w:space="0" w:color="auto"/>
              <w:left w:val="single" w:sz="4" w:space="0" w:color="auto"/>
              <w:bottom w:val="single" w:sz="4" w:space="0" w:color="auto"/>
              <w:right w:val="single" w:sz="4" w:space="0" w:color="auto"/>
            </w:tcBorders>
          </w:tcPr>
          <w:p w14:paraId="7AD149F6" w14:textId="77777777" w:rsidR="00A85398" w:rsidRDefault="00A85398" w:rsidP="002258D7">
            <w:pPr>
              <w:jc w:val="both"/>
              <w:rPr>
                <w:sz w:val="20"/>
              </w:rPr>
            </w:pPr>
            <w:proofErr w:type="spellStart"/>
            <w:r>
              <w:rPr>
                <w:sz w:val="20"/>
              </w:rPr>
              <w:t>StdC</w:t>
            </w:r>
            <w:proofErr w:type="spellEnd"/>
            <w:r>
              <w:rPr>
                <w:sz w:val="20"/>
              </w:rPr>
              <w:t xml:space="preserve"> MOP editorially revised to remove TCLS (this action was formally approved </w:t>
            </w:r>
            <w:r w:rsidR="002258D7">
              <w:rPr>
                <w:sz w:val="20"/>
              </w:rPr>
              <w:t>during the PPIS Spring 2013 Conference Call). Reference numbers to the Standards Committee Reference Manual were updated.</w:t>
            </w:r>
          </w:p>
        </w:tc>
        <w:tc>
          <w:tcPr>
            <w:tcW w:w="2250" w:type="dxa"/>
            <w:tcBorders>
              <w:top w:val="single" w:sz="4" w:space="0" w:color="auto"/>
              <w:left w:val="single" w:sz="4" w:space="0" w:color="auto"/>
              <w:bottom w:val="single" w:sz="4" w:space="0" w:color="auto"/>
              <w:right w:val="single" w:sz="4" w:space="0" w:color="auto"/>
            </w:tcBorders>
          </w:tcPr>
          <w:p w14:paraId="4A0F6352" w14:textId="77777777" w:rsidR="00A85398" w:rsidRDefault="002258D7" w:rsidP="00CD56A0">
            <w:pPr>
              <w:jc w:val="center"/>
              <w:rPr>
                <w:b/>
                <w:sz w:val="20"/>
              </w:rPr>
            </w:pPr>
            <w:r>
              <w:rPr>
                <w:b/>
                <w:sz w:val="20"/>
              </w:rPr>
              <w:t>Editorial</w:t>
            </w:r>
          </w:p>
          <w:p w14:paraId="4B6219E1" w14:textId="77777777" w:rsidR="002258D7" w:rsidRDefault="002258D7" w:rsidP="00CD56A0">
            <w:pPr>
              <w:jc w:val="center"/>
              <w:rPr>
                <w:b/>
                <w:sz w:val="20"/>
              </w:rPr>
            </w:pPr>
            <w:r>
              <w:rPr>
                <w:b/>
                <w:sz w:val="20"/>
              </w:rPr>
              <w:t>March 19</w:t>
            </w:r>
            <w:r w:rsidR="007A04FB">
              <w:rPr>
                <w:b/>
                <w:sz w:val="20"/>
              </w:rPr>
              <w:t>,</w:t>
            </w:r>
            <w:r>
              <w:rPr>
                <w:b/>
                <w:sz w:val="20"/>
              </w:rPr>
              <w:t xml:space="preserve"> 2015</w:t>
            </w:r>
          </w:p>
        </w:tc>
      </w:tr>
      <w:tr w:rsidR="005E774F" w:rsidRPr="00633598" w14:paraId="592C3AFD"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27E32F61" w14:textId="77777777" w:rsidR="005E774F" w:rsidRDefault="005E774F" w:rsidP="00CD56A0">
            <w:pPr>
              <w:jc w:val="center"/>
              <w:rPr>
                <w:b/>
                <w:bCs/>
                <w:sz w:val="20"/>
              </w:rPr>
            </w:pPr>
            <w:r>
              <w:rPr>
                <w:b/>
                <w:bCs/>
                <w:sz w:val="20"/>
              </w:rPr>
              <w:t>1.7</w:t>
            </w:r>
          </w:p>
        </w:tc>
        <w:tc>
          <w:tcPr>
            <w:tcW w:w="6570" w:type="dxa"/>
            <w:tcBorders>
              <w:top w:val="single" w:sz="4" w:space="0" w:color="auto"/>
              <w:left w:val="single" w:sz="4" w:space="0" w:color="auto"/>
              <w:bottom w:val="single" w:sz="4" w:space="0" w:color="auto"/>
              <w:right w:val="single" w:sz="4" w:space="0" w:color="auto"/>
            </w:tcBorders>
          </w:tcPr>
          <w:p w14:paraId="519D66B7" w14:textId="77777777" w:rsidR="005E774F" w:rsidRDefault="005E774F" w:rsidP="005E774F">
            <w:pPr>
              <w:jc w:val="both"/>
              <w:rPr>
                <w:sz w:val="20"/>
              </w:rPr>
            </w:pPr>
            <w:proofErr w:type="spellStart"/>
            <w:r>
              <w:rPr>
                <w:sz w:val="20"/>
              </w:rPr>
              <w:t>StdC</w:t>
            </w:r>
            <w:proofErr w:type="spellEnd"/>
            <w:r>
              <w:rPr>
                <w:sz w:val="20"/>
              </w:rPr>
              <w:t xml:space="preserve"> approved modifications to </w:t>
            </w:r>
            <w:proofErr w:type="spellStart"/>
            <w:r>
              <w:rPr>
                <w:sz w:val="20"/>
              </w:rPr>
              <w:t>StdC</w:t>
            </w:r>
            <w:proofErr w:type="spellEnd"/>
            <w:r>
              <w:rPr>
                <w:sz w:val="20"/>
              </w:rPr>
              <w:t xml:space="preserve"> MOP section 1.7 on January 20, </w:t>
            </w:r>
            <w:proofErr w:type="gramStart"/>
            <w:r>
              <w:rPr>
                <w:sz w:val="20"/>
              </w:rPr>
              <w:t>2018</w:t>
            </w:r>
            <w:proofErr w:type="gramEnd"/>
            <w:r>
              <w:rPr>
                <w:sz w:val="20"/>
              </w:rPr>
              <w:t xml:space="preserve"> but since this section was incorporated into PASA, we had to wait until PASA was reaccredited before the changes could be finalized into </w:t>
            </w:r>
            <w:proofErr w:type="spellStart"/>
            <w:r>
              <w:rPr>
                <w:sz w:val="20"/>
              </w:rPr>
              <w:t>StdC</w:t>
            </w:r>
            <w:proofErr w:type="spellEnd"/>
            <w:r>
              <w:rPr>
                <w:sz w:val="20"/>
              </w:rPr>
              <w:t xml:space="preserve"> MOP. PASA was reaccredited on May 1, 2018.</w:t>
            </w:r>
          </w:p>
        </w:tc>
        <w:tc>
          <w:tcPr>
            <w:tcW w:w="2250" w:type="dxa"/>
            <w:tcBorders>
              <w:top w:val="single" w:sz="4" w:space="0" w:color="auto"/>
              <w:left w:val="single" w:sz="4" w:space="0" w:color="auto"/>
              <w:bottom w:val="single" w:sz="4" w:space="0" w:color="auto"/>
              <w:right w:val="single" w:sz="4" w:space="0" w:color="auto"/>
            </w:tcBorders>
          </w:tcPr>
          <w:p w14:paraId="1E7A6974" w14:textId="77777777" w:rsidR="005E774F" w:rsidRDefault="005E774F" w:rsidP="00CD56A0">
            <w:pPr>
              <w:jc w:val="center"/>
              <w:rPr>
                <w:b/>
                <w:sz w:val="20"/>
              </w:rPr>
            </w:pPr>
            <w:r>
              <w:rPr>
                <w:b/>
                <w:sz w:val="20"/>
              </w:rPr>
              <w:t>May 1, 2018</w:t>
            </w:r>
          </w:p>
        </w:tc>
      </w:tr>
      <w:tr w:rsidR="00EB3273" w:rsidRPr="00633598" w14:paraId="45C06FAE"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10DFF06D" w14:textId="77777777" w:rsidR="00EB3273" w:rsidRDefault="00EB3273" w:rsidP="00CD56A0">
            <w:pPr>
              <w:jc w:val="center"/>
              <w:rPr>
                <w:b/>
                <w:bCs/>
                <w:sz w:val="20"/>
              </w:rPr>
            </w:pPr>
            <w:r>
              <w:rPr>
                <w:b/>
                <w:bCs/>
                <w:sz w:val="20"/>
              </w:rPr>
              <w:t>7</w:t>
            </w:r>
          </w:p>
        </w:tc>
        <w:tc>
          <w:tcPr>
            <w:tcW w:w="6570" w:type="dxa"/>
            <w:tcBorders>
              <w:top w:val="single" w:sz="4" w:space="0" w:color="auto"/>
              <w:left w:val="single" w:sz="4" w:space="0" w:color="auto"/>
              <w:bottom w:val="single" w:sz="4" w:space="0" w:color="auto"/>
              <w:right w:val="single" w:sz="4" w:space="0" w:color="auto"/>
            </w:tcBorders>
          </w:tcPr>
          <w:p w14:paraId="7A174A61" w14:textId="77777777" w:rsidR="00EB3273" w:rsidRDefault="00EB3273" w:rsidP="005E774F">
            <w:pPr>
              <w:jc w:val="both"/>
              <w:rPr>
                <w:sz w:val="20"/>
              </w:rPr>
            </w:pPr>
            <w:r>
              <w:rPr>
                <w:sz w:val="20"/>
              </w:rPr>
              <w:t>Approval Sequence was updated to reflect current procedures.</w:t>
            </w:r>
          </w:p>
        </w:tc>
        <w:tc>
          <w:tcPr>
            <w:tcW w:w="2250" w:type="dxa"/>
            <w:tcBorders>
              <w:top w:val="single" w:sz="4" w:space="0" w:color="auto"/>
              <w:left w:val="single" w:sz="4" w:space="0" w:color="auto"/>
              <w:bottom w:val="single" w:sz="4" w:space="0" w:color="auto"/>
              <w:right w:val="single" w:sz="4" w:space="0" w:color="auto"/>
            </w:tcBorders>
          </w:tcPr>
          <w:p w14:paraId="6A8D61B3" w14:textId="77777777" w:rsidR="00EB3273" w:rsidRDefault="00EB3273" w:rsidP="00CD56A0">
            <w:pPr>
              <w:jc w:val="center"/>
              <w:rPr>
                <w:b/>
                <w:sz w:val="20"/>
              </w:rPr>
            </w:pPr>
            <w:r>
              <w:rPr>
                <w:b/>
                <w:sz w:val="20"/>
              </w:rPr>
              <w:t xml:space="preserve">Editorial </w:t>
            </w:r>
          </w:p>
          <w:p w14:paraId="4CE9F09C" w14:textId="77777777" w:rsidR="00EB3273" w:rsidRDefault="00EB3273" w:rsidP="00CD56A0">
            <w:pPr>
              <w:jc w:val="center"/>
              <w:rPr>
                <w:b/>
                <w:sz w:val="20"/>
              </w:rPr>
            </w:pPr>
            <w:r>
              <w:rPr>
                <w:b/>
                <w:sz w:val="20"/>
              </w:rPr>
              <w:t>May 21, 2018</w:t>
            </w:r>
          </w:p>
        </w:tc>
      </w:tr>
      <w:tr w:rsidR="00723573" w:rsidRPr="00633598" w14:paraId="6DC3451F"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02894C58" w14:textId="77777777" w:rsidR="00723573" w:rsidRDefault="00723573" w:rsidP="00CD56A0">
            <w:pPr>
              <w:jc w:val="center"/>
              <w:rPr>
                <w:b/>
                <w:bCs/>
                <w:sz w:val="20"/>
              </w:rPr>
            </w:pPr>
            <w:r>
              <w:rPr>
                <w:b/>
                <w:bCs/>
                <w:sz w:val="20"/>
              </w:rPr>
              <w:t xml:space="preserve">6.2.5.1 </w:t>
            </w:r>
          </w:p>
        </w:tc>
        <w:tc>
          <w:tcPr>
            <w:tcW w:w="6570" w:type="dxa"/>
            <w:tcBorders>
              <w:top w:val="single" w:sz="4" w:space="0" w:color="auto"/>
              <w:left w:val="single" w:sz="4" w:space="0" w:color="auto"/>
              <w:bottom w:val="single" w:sz="4" w:space="0" w:color="auto"/>
              <w:right w:val="single" w:sz="4" w:space="0" w:color="auto"/>
            </w:tcBorders>
          </w:tcPr>
          <w:p w14:paraId="68426F2F" w14:textId="77777777" w:rsidR="00723573" w:rsidRDefault="00723573" w:rsidP="005E774F">
            <w:pPr>
              <w:jc w:val="both"/>
              <w:rPr>
                <w:sz w:val="20"/>
              </w:rPr>
            </w:pPr>
            <w:r>
              <w:rPr>
                <w:sz w:val="20"/>
              </w:rPr>
              <w:t>Title misspelled.</w:t>
            </w:r>
          </w:p>
        </w:tc>
        <w:tc>
          <w:tcPr>
            <w:tcW w:w="2250" w:type="dxa"/>
            <w:tcBorders>
              <w:top w:val="single" w:sz="4" w:space="0" w:color="auto"/>
              <w:left w:val="single" w:sz="4" w:space="0" w:color="auto"/>
              <w:bottom w:val="single" w:sz="4" w:space="0" w:color="auto"/>
              <w:right w:val="single" w:sz="4" w:space="0" w:color="auto"/>
            </w:tcBorders>
          </w:tcPr>
          <w:p w14:paraId="57B04627" w14:textId="77777777" w:rsidR="00723573" w:rsidRDefault="00723573" w:rsidP="00CD56A0">
            <w:pPr>
              <w:jc w:val="center"/>
              <w:rPr>
                <w:b/>
                <w:sz w:val="20"/>
              </w:rPr>
            </w:pPr>
            <w:r>
              <w:rPr>
                <w:b/>
                <w:sz w:val="20"/>
              </w:rPr>
              <w:t>Editorial</w:t>
            </w:r>
          </w:p>
          <w:p w14:paraId="20801C1D" w14:textId="77777777" w:rsidR="00723573" w:rsidRDefault="00723573" w:rsidP="00CD56A0">
            <w:pPr>
              <w:jc w:val="center"/>
              <w:rPr>
                <w:b/>
                <w:sz w:val="20"/>
              </w:rPr>
            </w:pPr>
            <w:r>
              <w:rPr>
                <w:b/>
                <w:sz w:val="20"/>
              </w:rPr>
              <w:t>August 5, 2019</w:t>
            </w:r>
          </w:p>
        </w:tc>
      </w:tr>
      <w:tr w:rsidR="005F3EF6" w:rsidRPr="00633598" w14:paraId="1CBD7A81"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773FA620" w14:textId="77777777" w:rsidR="005F3EF6" w:rsidRDefault="005F3EF6" w:rsidP="00CD56A0">
            <w:pPr>
              <w:jc w:val="center"/>
              <w:rPr>
                <w:b/>
                <w:bCs/>
                <w:sz w:val="20"/>
              </w:rPr>
            </w:pPr>
            <w:r>
              <w:rPr>
                <w:b/>
                <w:bCs/>
                <w:sz w:val="20"/>
              </w:rPr>
              <w:t>1.6.1 &amp; 1.6.2</w:t>
            </w:r>
          </w:p>
        </w:tc>
        <w:tc>
          <w:tcPr>
            <w:tcW w:w="6570" w:type="dxa"/>
            <w:tcBorders>
              <w:top w:val="single" w:sz="4" w:space="0" w:color="auto"/>
              <w:left w:val="single" w:sz="4" w:space="0" w:color="auto"/>
              <w:bottom w:val="single" w:sz="4" w:space="0" w:color="auto"/>
              <w:right w:val="single" w:sz="4" w:space="0" w:color="auto"/>
            </w:tcBorders>
          </w:tcPr>
          <w:p w14:paraId="5FD5212B" w14:textId="77777777" w:rsidR="005F3EF6" w:rsidRDefault="005F3EF6" w:rsidP="005E774F">
            <w:pPr>
              <w:jc w:val="both"/>
              <w:rPr>
                <w:sz w:val="20"/>
              </w:rPr>
            </w:pPr>
            <w:r>
              <w:rPr>
                <w:sz w:val="20"/>
              </w:rPr>
              <w:t>The proposed voting changes are to align with current practice.</w:t>
            </w:r>
          </w:p>
        </w:tc>
        <w:tc>
          <w:tcPr>
            <w:tcW w:w="2250" w:type="dxa"/>
            <w:tcBorders>
              <w:top w:val="single" w:sz="4" w:space="0" w:color="auto"/>
              <w:left w:val="single" w:sz="4" w:space="0" w:color="auto"/>
              <w:bottom w:val="single" w:sz="4" w:space="0" w:color="auto"/>
              <w:right w:val="single" w:sz="4" w:space="0" w:color="auto"/>
            </w:tcBorders>
          </w:tcPr>
          <w:p w14:paraId="0E665F18" w14:textId="77777777" w:rsidR="005F3EF6" w:rsidRDefault="005F3EF6" w:rsidP="00CD56A0">
            <w:pPr>
              <w:jc w:val="center"/>
              <w:rPr>
                <w:b/>
                <w:sz w:val="20"/>
              </w:rPr>
            </w:pPr>
            <w:r>
              <w:rPr>
                <w:b/>
                <w:sz w:val="20"/>
              </w:rPr>
              <w:t>Standards Committee</w:t>
            </w:r>
          </w:p>
          <w:p w14:paraId="085AC17D" w14:textId="77777777" w:rsidR="005F3EF6" w:rsidRDefault="005F3EF6" w:rsidP="00CD56A0">
            <w:pPr>
              <w:jc w:val="center"/>
              <w:rPr>
                <w:b/>
                <w:sz w:val="20"/>
              </w:rPr>
            </w:pPr>
            <w:r>
              <w:rPr>
                <w:b/>
                <w:sz w:val="20"/>
              </w:rPr>
              <w:t>February 5, 2020</w:t>
            </w:r>
          </w:p>
        </w:tc>
      </w:tr>
      <w:tr w:rsidR="00530C75" w:rsidRPr="00633598" w14:paraId="412B0A98"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2C117324" w14:textId="77777777" w:rsidR="00530C75" w:rsidRDefault="000734B7" w:rsidP="00CD56A0">
            <w:pPr>
              <w:jc w:val="center"/>
              <w:rPr>
                <w:b/>
                <w:bCs/>
                <w:sz w:val="20"/>
              </w:rPr>
            </w:pPr>
            <w:r w:rsidRPr="000734B7">
              <w:rPr>
                <w:b/>
                <w:bCs/>
                <w:sz w:val="20"/>
              </w:rPr>
              <w:t>6.2.5</w:t>
            </w:r>
          </w:p>
          <w:p w14:paraId="347B0279" w14:textId="77777777" w:rsidR="000734B7" w:rsidRDefault="000734B7" w:rsidP="00CD56A0">
            <w:pPr>
              <w:jc w:val="center"/>
              <w:rPr>
                <w:b/>
                <w:bCs/>
                <w:sz w:val="20"/>
              </w:rPr>
            </w:pPr>
            <w:r w:rsidRPr="000734B7">
              <w:rPr>
                <w:b/>
                <w:bCs/>
                <w:sz w:val="20"/>
              </w:rPr>
              <w:t>6.2.6.1</w:t>
            </w:r>
          </w:p>
        </w:tc>
        <w:tc>
          <w:tcPr>
            <w:tcW w:w="6570" w:type="dxa"/>
            <w:tcBorders>
              <w:top w:val="single" w:sz="4" w:space="0" w:color="auto"/>
              <w:left w:val="single" w:sz="4" w:space="0" w:color="auto"/>
              <w:bottom w:val="single" w:sz="4" w:space="0" w:color="auto"/>
              <w:right w:val="single" w:sz="4" w:space="0" w:color="auto"/>
            </w:tcBorders>
          </w:tcPr>
          <w:p w14:paraId="6E1A9FFD" w14:textId="77777777" w:rsidR="00530C75" w:rsidRDefault="00530C75" w:rsidP="005E774F">
            <w:pPr>
              <w:jc w:val="both"/>
              <w:rPr>
                <w:sz w:val="20"/>
              </w:rPr>
            </w:pPr>
            <w:r>
              <w:rPr>
                <w:sz w:val="20"/>
              </w:rPr>
              <w:t xml:space="preserve">Entire document – </w:t>
            </w:r>
            <w:r w:rsidR="00062485">
              <w:rPr>
                <w:sz w:val="20"/>
              </w:rPr>
              <w:t>“</w:t>
            </w:r>
            <w:r>
              <w:rPr>
                <w:sz w:val="20"/>
              </w:rPr>
              <w:t>SCD</w:t>
            </w:r>
            <w:r w:rsidR="00062485">
              <w:rPr>
                <w:sz w:val="20"/>
              </w:rPr>
              <w:t xml:space="preserve">” </w:t>
            </w:r>
            <w:r>
              <w:rPr>
                <w:sz w:val="20"/>
              </w:rPr>
              <w:t>replaced with Standards, Guidelines or portion thereof</w:t>
            </w:r>
          </w:p>
          <w:p w14:paraId="0E78AA6B" w14:textId="77777777" w:rsidR="00530C75" w:rsidRDefault="00530C75" w:rsidP="005E774F">
            <w:pPr>
              <w:jc w:val="both"/>
              <w:rPr>
                <w:sz w:val="20"/>
              </w:rPr>
            </w:pPr>
            <w:r>
              <w:rPr>
                <w:sz w:val="20"/>
              </w:rPr>
              <w:t xml:space="preserve">6.2.5 CIS – </w:t>
            </w:r>
            <w:r w:rsidR="00363946">
              <w:rPr>
                <w:sz w:val="20"/>
              </w:rPr>
              <w:t>adds</w:t>
            </w:r>
            <w:r w:rsidRPr="00530C75">
              <w:rPr>
                <w:sz w:val="20"/>
              </w:rPr>
              <w:t xml:space="preserve"> standards developers, not just model code</w:t>
            </w:r>
            <w:r w:rsidR="00363946">
              <w:rPr>
                <w:sz w:val="20"/>
              </w:rPr>
              <w:t xml:space="preserve"> developers</w:t>
            </w:r>
            <w:r w:rsidRPr="00530C75">
              <w:rPr>
                <w:sz w:val="20"/>
              </w:rPr>
              <w:t>.</w:t>
            </w:r>
          </w:p>
          <w:p w14:paraId="462E87F0" w14:textId="77777777" w:rsidR="00363946" w:rsidRDefault="00363946" w:rsidP="005E774F">
            <w:pPr>
              <w:jc w:val="both"/>
              <w:rPr>
                <w:sz w:val="20"/>
              </w:rPr>
            </w:pPr>
            <w:r>
              <w:rPr>
                <w:sz w:val="20"/>
              </w:rPr>
              <w:t xml:space="preserve">6.2.6.1 – Removes </w:t>
            </w:r>
            <w:proofErr w:type="spellStart"/>
            <w:r>
              <w:rPr>
                <w:sz w:val="20"/>
              </w:rPr>
              <w:t>StdC</w:t>
            </w:r>
            <w:proofErr w:type="spellEnd"/>
            <w:r>
              <w:rPr>
                <w:sz w:val="20"/>
              </w:rPr>
              <w:t xml:space="preserve"> approval requirement for SRS roster.</w:t>
            </w:r>
          </w:p>
          <w:p w14:paraId="0221DD74" w14:textId="77777777" w:rsidR="002E14B4" w:rsidRDefault="002E14B4" w:rsidP="005E774F">
            <w:pPr>
              <w:jc w:val="both"/>
              <w:rPr>
                <w:sz w:val="20"/>
              </w:rPr>
            </w:pPr>
            <w:r>
              <w:rPr>
                <w:sz w:val="20"/>
              </w:rPr>
              <w:t>Definitions – deleted SCD definition</w:t>
            </w:r>
          </w:p>
        </w:tc>
        <w:tc>
          <w:tcPr>
            <w:tcW w:w="2250" w:type="dxa"/>
            <w:tcBorders>
              <w:top w:val="single" w:sz="4" w:space="0" w:color="auto"/>
              <w:left w:val="single" w:sz="4" w:space="0" w:color="auto"/>
              <w:bottom w:val="single" w:sz="4" w:space="0" w:color="auto"/>
              <w:right w:val="single" w:sz="4" w:space="0" w:color="auto"/>
            </w:tcBorders>
          </w:tcPr>
          <w:p w14:paraId="683967C1" w14:textId="77777777" w:rsidR="00530C75" w:rsidRDefault="00530C75" w:rsidP="00CD56A0">
            <w:pPr>
              <w:jc w:val="center"/>
              <w:rPr>
                <w:b/>
                <w:sz w:val="20"/>
              </w:rPr>
            </w:pPr>
            <w:r>
              <w:rPr>
                <w:b/>
                <w:sz w:val="20"/>
              </w:rPr>
              <w:t>April 21, 2020</w:t>
            </w:r>
          </w:p>
          <w:p w14:paraId="7D4E554B" w14:textId="77777777" w:rsidR="00530C75" w:rsidRDefault="00530C75" w:rsidP="00CD56A0">
            <w:pPr>
              <w:jc w:val="center"/>
              <w:rPr>
                <w:b/>
                <w:sz w:val="20"/>
              </w:rPr>
            </w:pPr>
            <w:r>
              <w:rPr>
                <w:b/>
                <w:sz w:val="20"/>
              </w:rPr>
              <w:t>(PASA Reaccredited)</w:t>
            </w:r>
          </w:p>
        </w:tc>
      </w:tr>
      <w:tr w:rsidR="00B45A29" w:rsidRPr="00633598" w14:paraId="2FD70E5C"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2B4235DF" w14:textId="77777777" w:rsidR="00B45A29" w:rsidRPr="000734B7" w:rsidRDefault="00B45A29" w:rsidP="00CD56A0">
            <w:pPr>
              <w:jc w:val="center"/>
              <w:rPr>
                <w:b/>
                <w:bCs/>
                <w:sz w:val="20"/>
              </w:rPr>
            </w:pPr>
            <w:r>
              <w:rPr>
                <w:b/>
                <w:bCs/>
                <w:sz w:val="20"/>
              </w:rPr>
              <w:t>Normative Appendix A</w:t>
            </w:r>
          </w:p>
        </w:tc>
        <w:tc>
          <w:tcPr>
            <w:tcW w:w="6570" w:type="dxa"/>
            <w:tcBorders>
              <w:top w:val="single" w:sz="4" w:space="0" w:color="auto"/>
              <w:left w:val="single" w:sz="4" w:space="0" w:color="auto"/>
              <w:bottom w:val="single" w:sz="4" w:space="0" w:color="auto"/>
              <w:right w:val="single" w:sz="4" w:space="0" w:color="auto"/>
            </w:tcBorders>
          </w:tcPr>
          <w:p w14:paraId="26197EE2" w14:textId="77777777" w:rsidR="00B45A29" w:rsidRDefault="00B45A29" w:rsidP="005E774F">
            <w:pPr>
              <w:jc w:val="both"/>
              <w:rPr>
                <w:sz w:val="20"/>
              </w:rPr>
            </w:pPr>
            <w:r>
              <w:rPr>
                <w:sz w:val="20"/>
              </w:rPr>
              <w:t xml:space="preserve">Consensus definition in Normative Appendix A was updated editorially to include “interested parties”; removing the term “affected parties”. This change was made in the ANSI ER and was recommended to editorially update our procedures. </w:t>
            </w:r>
          </w:p>
        </w:tc>
        <w:tc>
          <w:tcPr>
            <w:tcW w:w="2250" w:type="dxa"/>
            <w:tcBorders>
              <w:top w:val="single" w:sz="4" w:space="0" w:color="auto"/>
              <w:left w:val="single" w:sz="4" w:space="0" w:color="auto"/>
              <w:bottom w:val="single" w:sz="4" w:space="0" w:color="auto"/>
              <w:right w:val="single" w:sz="4" w:space="0" w:color="auto"/>
            </w:tcBorders>
          </w:tcPr>
          <w:p w14:paraId="3B2579E5" w14:textId="77777777" w:rsidR="00B45A29" w:rsidRDefault="00B45A29" w:rsidP="00CD56A0">
            <w:pPr>
              <w:jc w:val="center"/>
              <w:rPr>
                <w:b/>
                <w:sz w:val="20"/>
              </w:rPr>
            </w:pPr>
            <w:r>
              <w:rPr>
                <w:b/>
                <w:sz w:val="20"/>
              </w:rPr>
              <w:t>Editorial</w:t>
            </w:r>
          </w:p>
          <w:p w14:paraId="27C21F35" w14:textId="77777777" w:rsidR="00B45A29" w:rsidRDefault="00B45A29" w:rsidP="00CD56A0">
            <w:pPr>
              <w:jc w:val="center"/>
              <w:rPr>
                <w:b/>
                <w:sz w:val="20"/>
              </w:rPr>
            </w:pPr>
            <w:r>
              <w:rPr>
                <w:b/>
                <w:sz w:val="20"/>
              </w:rPr>
              <w:t>February 9, 2021</w:t>
            </w:r>
          </w:p>
          <w:p w14:paraId="5D340600" w14:textId="77777777" w:rsidR="00B45A29" w:rsidRDefault="00B45A29" w:rsidP="00CD56A0">
            <w:pPr>
              <w:jc w:val="center"/>
              <w:rPr>
                <w:b/>
                <w:sz w:val="20"/>
              </w:rPr>
            </w:pPr>
          </w:p>
        </w:tc>
      </w:tr>
      <w:tr w:rsidR="00BB0040" w:rsidRPr="00633598" w14:paraId="1712D810"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684EA986" w14:textId="77777777" w:rsidR="00BB0040" w:rsidRDefault="00BB0040" w:rsidP="00CD56A0">
            <w:pPr>
              <w:jc w:val="center"/>
              <w:rPr>
                <w:b/>
                <w:bCs/>
                <w:sz w:val="20"/>
              </w:rPr>
            </w:pPr>
            <w:r>
              <w:rPr>
                <w:b/>
                <w:bCs/>
                <w:sz w:val="20"/>
              </w:rPr>
              <w:t>Editorial</w:t>
            </w:r>
          </w:p>
        </w:tc>
        <w:tc>
          <w:tcPr>
            <w:tcW w:w="6570" w:type="dxa"/>
            <w:tcBorders>
              <w:top w:val="single" w:sz="4" w:space="0" w:color="auto"/>
              <w:left w:val="single" w:sz="4" w:space="0" w:color="auto"/>
              <w:bottom w:val="single" w:sz="4" w:space="0" w:color="auto"/>
              <w:right w:val="single" w:sz="4" w:space="0" w:color="auto"/>
            </w:tcBorders>
          </w:tcPr>
          <w:p w14:paraId="2CCA6C2C" w14:textId="77777777" w:rsidR="00BB0040" w:rsidRDefault="00BB0040" w:rsidP="005E774F">
            <w:pPr>
              <w:jc w:val="both"/>
              <w:rPr>
                <w:sz w:val="20"/>
              </w:rPr>
            </w:pPr>
            <w:r>
              <w:rPr>
                <w:sz w:val="20"/>
              </w:rPr>
              <w:t>Updated Section Line numbers.</w:t>
            </w:r>
          </w:p>
        </w:tc>
        <w:tc>
          <w:tcPr>
            <w:tcW w:w="2250" w:type="dxa"/>
            <w:tcBorders>
              <w:top w:val="single" w:sz="4" w:space="0" w:color="auto"/>
              <w:left w:val="single" w:sz="4" w:space="0" w:color="auto"/>
              <w:bottom w:val="single" w:sz="4" w:space="0" w:color="auto"/>
              <w:right w:val="single" w:sz="4" w:space="0" w:color="auto"/>
            </w:tcBorders>
          </w:tcPr>
          <w:p w14:paraId="6CA49C70" w14:textId="77777777" w:rsidR="00BB0040" w:rsidRDefault="00BB0040" w:rsidP="00CD56A0">
            <w:pPr>
              <w:jc w:val="center"/>
              <w:rPr>
                <w:b/>
                <w:sz w:val="20"/>
              </w:rPr>
            </w:pPr>
            <w:r>
              <w:rPr>
                <w:b/>
                <w:sz w:val="20"/>
              </w:rPr>
              <w:t xml:space="preserve">Editorial </w:t>
            </w:r>
          </w:p>
          <w:p w14:paraId="02126755" w14:textId="77777777" w:rsidR="00BB0040" w:rsidRDefault="00BB0040" w:rsidP="00CD56A0">
            <w:pPr>
              <w:jc w:val="center"/>
              <w:rPr>
                <w:b/>
                <w:sz w:val="20"/>
              </w:rPr>
            </w:pPr>
            <w:r>
              <w:rPr>
                <w:b/>
                <w:sz w:val="20"/>
              </w:rPr>
              <w:t>6/23/2021</w:t>
            </w:r>
          </w:p>
        </w:tc>
      </w:tr>
      <w:tr w:rsidR="007D07AE" w:rsidRPr="00633598" w14:paraId="00CF6D10"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5FB4EAD4" w14:textId="6A09223F" w:rsidR="007D07AE" w:rsidRDefault="007D07AE" w:rsidP="00CD56A0">
            <w:pPr>
              <w:jc w:val="center"/>
              <w:rPr>
                <w:b/>
                <w:bCs/>
                <w:sz w:val="20"/>
              </w:rPr>
            </w:pPr>
            <w:r>
              <w:rPr>
                <w:b/>
                <w:bCs/>
                <w:sz w:val="20"/>
              </w:rPr>
              <w:t>Total Revision</w:t>
            </w:r>
          </w:p>
        </w:tc>
        <w:tc>
          <w:tcPr>
            <w:tcW w:w="6570" w:type="dxa"/>
            <w:tcBorders>
              <w:top w:val="single" w:sz="4" w:space="0" w:color="auto"/>
              <w:left w:val="single" w:sz="4" w:space="0" w:color="auto"/>
              <w:bottom w:val="single" w:sz="4" w:space="0" w:color="auto"/>
              <w:right w:val="single" w:sz="4" w:space="0" w:color="auto"/>
            </w:tcBorders>
          </w:tcPr>
          <w:p w14:paraId="3AA1A161" w14:textId="28EBCFB1" w:rsidR="007D07AE" w:rsidRDefault="007D07AE" w:rsidP="005E774F">
            <w:pPr>
              <w:jc w:val="both"/>
              <w:rPr>
                <w:sz w:val="20"/>
              </w:rPr>
            </w:pPr>
            <w:r>
              <w:rPr>
                <w:sz w:val="20"/>
              </w:rPr>
              <w:t xml:space="preserve">The </w:t>
            </w:r>
            <w:proofErr w:type="spellStart"/>
            <w:r>
              <w:rPr>
                <w:sz w:val="20"/>
              </w:rPr>
              <w:t>StdC</w:t>
            </w:r>
            <w:proofErr w:type="spellEnd"/>
            <w:r>
              <w:rPr>
                <w:sz w:val="20"/>
              </w:rPr>
              <w:t xml:space="preserve"> MOP was revised according to the changes made to PASA. Major changes include removing the two thirds voting requirement and streamlining approvals to either Standards Committee or Technology Council. For a complete list of PASA changes, please refer to the PASA Appendix Summary.</w:t>
            </w:r>
          </w:p>
        </w:tc>
        <w:tc>
          <w:tcPr>
            <w:tcW w:w="2250" w:type="dxa"/>
            <w:tcBorders>
              <w:top w:val="single" w:sz="4" w:space="0" w:color="auto"/>
              <w:left w:val="single" w:sz="4" w:space="0" w:color="auto"/>
              <w:bottom w:val="single" w:sz="4" w:space="0" w:color="auto"/>
              <w:right w:val="single" w:sz="4" w:space="0" w:color="auto"/>
            </w:tcBorders>
          </w:tcPr>
          <w:p w14:paraId="31C1F79B" w14:textId="77777777" w:rsidR="007D07AE" w:rsidRDefault="007D07AE" w:rsidP="00CD56A0">
            <w:pPr>
              <w:jc w:val="center"/>
              <w:rPr>
                <w:b/>
                <w:sz w:val="20"/>
              </w:rPr>
            </w:pPr>
            <w:r>
              <w:rPr>
                <w:b/>
                <w:sz w:val="20"/>
              </w:rPr>
              <w:t>January 27, 2023</w:t>
            </w:r>
          </w:p>
          <w:p w14:paraId="65B8E253" w14:textId="7FEB3516" w:rsidR="00B074F0" w:rsidRDefault="00B074F0" w:rsidP="00CD56A0">
            <w:pPr>
              <w:jc w:val="center"/>
              <w:rPr>
                <w:b/>
                <w:sz w:val="20"/>
              </w:rPr>
            </w:pPr>
            <w:r>
              <w:rPr>
                <w:b/>
                <w:sz w:val="20"/>
              </w:rPr>
              <w:t>(PASA Reaccredited)</w:t>
            </w:r>
          </w:p>
        </w:tc>
      </w:tr>
      <w:tr w:rsidR="001560C0" w:rsidRPr="00633598" w14:paraId="54A48526"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3AFAB2DA" w14:textId="6F5D049A" w:rsidR="001560C0" w:rsidRDefault="001560C0" w:rsidP="00CD56A0">
            <w:pPr>
              <w:jc w:val="center"/>
              <w:rPr>
                <w:b/>
                <w:bCs/>
                <w:sz w:val="20"/>
              </w:rPr>
            </w:pPr>
            <w:r>
              <w:rPr>
                <w:b/>
                <w:bCs/>
                <w:sz w:val="20"/>
              </w:rPr>
              <w:lastRenderedPageBreak/>
              <w:t>Editorial</w:t>
            </w:r>
          </w:p>
        </w:tc>
        <w:tc>
          <w:tcPr>
            <w:tcW w:w="6570" w:type="dxa"/>
            <w:tcBorders>
              <w:top w:val="single" w:sz="4" w:space="0" w:color="auto"/>
              <w:left w:val="single" w:sz="4" w:space="0" w:color="auto"/>
              <w:bottom w:val="single" w:sz="4" w:space="0" w:color="auto"/>
              <w:right w:val="single" w:sz="4" w:space="0" w:color="auto"/>
            </w:tcBorders>
          </w:tcPr>
          <w:p w14:paraId="3EAC37CD" w14:textId="15A7E405" w:rsidR="001560C0" w:rsidRDefault="001560C0" w:rsidP="005E774F">
            <w:pPr>
              <w:jc w:val="both"/>
              <w:rPr>
                <w:sz w:val="20"/>
              </w:rPr>
            </w:pPr>
            <w:r w:rsidRPr="001560C0">
              <w:rPr>
                <w:sz w:val="20"/>
              </w:rPr>
              <w:t>PASA 7.2.4.2 Numerical Requirement for Standards Action Votes – removed “excluding abstentions”. This was mathematically incorrect in process.</w:t>
            </w:r>
            <w:r>
              <w:rPr>
                <w:sz w:val="20"/>
              </w:rPr>
              <w:t xml:space="preserve"> This change was subsequently made to all other procedural documents.</w:t>
            </w:r>
          </w:p>
        </w:tc>
        <w:tc>
          <w:tcPr>
            <w:tcW w:w="2250" w:type="dxa"/>
            <w:tcBorders>
              <w:top w:val="single" w:sz="4" w:space="0" w:color="auto"/>
              <w:left w:val="single" w:sz="4" w:space="0" w:color="auto"/>
              <w:bottom w:val="single" w:sz="4" w:space="0" w:color="auto"/>
              <w:right w:val="single" w:sz="4" w:space="0" w:color="auto"/>
            </w:tcBorders>
          </w:tcPr>
          <w:p w14:paraId="5D5C4BE9" w14:textId="77777777" w:rsidR="001560C0" w:rsidRDefault="001560C0" w:rsidP="00CD56A0">
            <w:pPr>
              <w:jc w:val="center"/>
              <w:rPr>
                <w:b/>
                <w:sz w:val="20"/>
              </w:rPr>
            </w:pPr>
            <w:r>
              <w:rPr>
                <w:b/>
                <w:sz w:val="20"/>
              </w:rPr>
              <w:t>April 13, 2023</w:t>
            </w:r>
          </w:p>
          <w:p w14:paraId="6FE58ECF" w14:textId="3DFE3C4E" w:rsidR="004D139A" w:rsidRPr="004D139A" w:rsidRDefault="004D139A" w:rsidP="004D139A">
            <w:pPr>
              <w:jc w:val="right"/>
              <w:rPr>
                <w:sz w:val="20"/>
              </w:rPr>
            </w:pPr>
          </w:p>
        </w:tc>
      </w:tr>
      <w:tr w:rsidR="004D139A" w:rsidRPr="00633598" w14:paraId="6BDDF727" w14:textId="77777777">
        <w:trPr>
          <w:trHeight w:val="486"/>
        </w:trPr>
        <w:tc>
          <w:tcPr>
            <w:tcW w:w="1440" w:type="dxa"/>
            <w:tcBorders>
              <w:top w:val="single" w:sz="4" w:space="0" w:color="auto"/>
              <w:left w:val="single" w:sz="4" w:space="0" w:color="auto"/>
              <w:bottom w:val="single" w:sz="4" w:space="0" w:color="auto"/>
              <w:right w:val="single" w:sz="4" w:space="0" w:color="auto"/>
            </w:tcBorders>
          </w:tcPr>
          <w:p w14:paraId="2E816BDA" w14:textId="5AC3589F" w:rsidR="004D139A" w:rsidRDefault="004D139A" w:rsidP="00CD56A0">
            <w:pPr>
              <w:jc w:val="center"/>
              <w:rPr>
                <w:b/>
                <w:bCs/>
                <w:sz w:val="20"/>
              </w:rPr>
            </w:pPr>
            <w:r>
              <w:rPr>
                <w:b/>
                <w:bCs/>
                <w:sz w:val="20"/>
              </w:rPr>
              <w:t>Editorial</w:t>
            </w:r>
          </w:p>
        </w:tc>
        <w:tc>
          <w:tcPr>
            <w:tcW w:w="6570" w:type="dxa"/>
            <w:tcBorders>
              <w:top w:val="single" w:sz="4" w:space="0" w:color="auto"/>
              <w:left w:val="single" w:sz="4" w:space="0" w:color="auto"/>
              <w:bottom w:val="single" w:sz="4" w:space="0" w:color="auto"/>
              <w:right w:val="single" w:sz="4" w:space="0" w:color="auto"/>
            </w:tcBorders>
          </w:tcPr>
          <w:p w14:paraId="36135A4B" w14:textId="09E020BA" w:rsidR="004D139A" w:rsidRPr="001560C0" w:rsidRDefault="004D139A" w:rsidP="005E774F">
            <w:pPr>
              <w:jc w:val="both"/>
              <w:rPr>
                <w:sz w:val="20"/>
              </w:rPr>
            </w:pPr>
            <w:r>
              <w:rPr>
                <w:sz w:val="20"/>
              </w:rPr>
              <w:t>Removed section 1.1.6 User’s Manual – Appendix D was deleted in changes made in January.</w:t>
            </w:r>
          </w:p>
        </w:tc>
        <w:tc>
          <w:tcPr>
            <w:tcW w:w="2250" w:type="dxa"/>
            <w:tcBorders>
              <w:top w:val="single" w:sz="4" w:space="0" w:color="auto"/>
              <w:left w:val="single" w:sz="4" w:space="0" w:color="auto"/>
              <w:bottom w:val="single" w:sz="4" w:space="0" w:color="auto"/>
              <w:right w:val="single" w:sz="4" w:space="0" w:color="auto"/>
            </w:tcBorders>
          </w:tcPr>
          <w:p w14:paraId="1F7BCFC2" w14:textId="4D1F7D35" w:rsidR="004D139A" w:rsidRDefault="004D139A" w:rsidP="00CD56A0">
            <w:pPr>
              <w:jc w:val="center"/>
              <w:rPr>
                <w:b/>
                <w:sz w:val="20"/>
              </w:rPr>
            </w:pPr>
            <w:r>
              <w:rPr>
                <w:b/>
                <w:sz w:val="20"/>
              </w:rPr>
              <w:t>June 6, 2023</w:t>
            </w:r>
          </w:p>
        </w:tc>
      </w:tr>
    </w:tbl>
    <w:p w14:paraId="48F7896C" w14:textId="77777777" w:rsidR="00902D4A" w:rsidRPr="00633598" w:rsidRDefault="00902D4A" w:rsidP="0056531B">
      <w:pPr>
        <w:rPr>
          <w:sz w:val="20"/>
        </w:rPr>
      </w:pPr>
    </w:p>
    <w:sectPr w:rsidR="00902D4A" w:rsidRPr="00633598" w:rsidSect="00E31244">
      <w:footerReference w:type="default" r:id="rId15"/>
      <w:headerReference w:type="first" r:id="rId16"/>
      <w:footerReference w:type="first" r:id="rId17"/>
      <w:type w:val="continuous"/>
      <w:pgSz w:w="12240" w:h="15840" w:code="1"/>
      <w:pgMar w:top="907"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70F9" w14:textId="77777777" w:rsidR="00021E17" w:rsidRDefault="00021E17">
      <w:r>
        <w:separator/>
      </w:r>
    </w:p>
  </w:endnote>
  <w:endnote w:type="continuationSeparator" w:id="0">
    <w:p w14:paraId="7F32EBD2" w14:textId="77777777" w:rsidR="00021E17" w:rsidRDefault="0002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D3B1" w14:textId="77777777" w:rsidR="00A85398" w:rsidRDefault="00A85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w:t>
    </w:r>
    <w:r>
      <w:rPr>
        <w:rStyle w:val="PageNumber"/>
      </w:rPr>
      <w:fldChar w:fldCharType="end"/>
    </w:r>
  </w:p>
  <w:p w14:paraId="164F190D" w14:textId="77777777" w:rsidR="00A85398" w:rsidRDefault="00A85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9802" w14:textId="0F6975D0" w:rsidR="00A85398" w:rsidRPr="00431E19" w:rsidRDefault="001173B3" w:rsidP="00020004">
    <w:pPr>
      <w:pBdr>
        <w:top w:val="single" w:sz="4" w:space="1" w:color="auto"/>
      </w:pBdr>
      <w:jc w:val="both"/>
      <w:rPr>
        <w:i/>
        <w:iCs/>
        <w:sz w:val="18"/>
        <w:szCs w:val="18"/>
      </w:rPr>
    </w:pPr>
    <w:r w:rsidRPr="007B247A">
      <w:rPr>
        <w:noProof/>
        <w:sz w:val="28"/>
        <w:szCs w:val="28"/>
      </w:rPr>
      <w:drawing>
        <wp:inline distT="0" distB="0" distL="0" distR="0" wp14:anchorId="4779A0E9" wp14:editId="165D2BE4">
          <wp:extent cx="285750" cy="196850"/>
          <wp:effectExtent l="0" t="0" r="0" b="0"/>
          <wp:docPr id="2"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196850"/>
                  </a:xfrm>
                  <a:prstGeom prst="rect">
                    <a:avLst/>
                  </a:prstGeom>
                  <a:noFill/>
                  <a:ln>
                    <a:noFill/>
                  </a:ln>
                </pic:spPr>
              </pic:pic>
            </a:graphicData>
          </a:graphic>
        </wp:inline>
      </w:drawing>
    </w:r>
    <w:r w:rsidR="00A85398">
      <w:rPr>
        <w:noProof/>
        <w:sz w:val="28"/>
        <w:szCs w:val="28"/>
      </w:rPr>
      <w:t xml:space="preserve"> </w:t>
    </w:r>
    <w:r w:rsidR="00A85398" w:rsidRPr="00747C6D">
      <w:rPr>
        <w:sz w:val="16"/>
        <w:szCs w:val="16"/>
      </w:rPr>
      <w:t xml:space="preserve"> </w:t>
    </w:r>
    <w:r w:rsidR="00A85398" w:rsidRPr="00431E19">
      <w:rPr>
        <w:b/>
        <w:bCs/>
        <w:sz w:val="18"/>
        <w:szCs w:val="18"/>
      </w:rPr>
      <w:t>Standards Committee MOP</w:t>
    </w:r>
    <w:r w:rsidR="00A85398" w:rsidRPr="00431E19">
      <w:rPr>
        <w:sz w:val="18"/>
        <w:szCs w:val="18"/>
      </w:rPr>
      <w:t xml:space="preserve"> - </w:t>
    </w:r>
    <w:r w:rsidR="00A85398" w:rsidRPr="00431E19">
      <w:rPr>
        <w:i/>
        <w:iCs/>
        <w:sz w:val="18"/>
        <w:szCs w:val="18"/>
      </w:rPr>
      <w:t>Manual of Procedures</w:t>
    </w:r>
  </w:p>
  <w:p w14:paraId="2A375FC4" w14:textId="77777777" w:rsidR="00A85398" w:rsidRPr="00F55648" w:rsidRDefault="004D7C99" w:rsidP="00F55648">
    <w:pPr>
      <w:pBdr>
        <w:top w:val="single" w:sz="4" w:space="1" w:color="auto"/>
      </w:pBdr>
      <w:jc w:val="both"/>
      <w:rPr>
        <w:iCs/>
        <w:sz w:val="18"/>
        <w:szCs w:val="18"/>
      </w:rPr>
    </w:pPr>
    <w:r>
      <w:rPr>
        <w:iCs/>
        <w:sz w:val="18"/>
        <w:szCs w:val="18"/>
      </w:rPr>
      <w:t>January 27, 2023</w:t>
    </w:r>
    <w:r w:rsidR="00A85398" w:rsidRPr="00F55648">
      <w:rPr>
        <w:iCs/>
        <w:sz w:val="16"/>
        <w:szCs w:val="16"/>
      </w:rPr>
      <w:tab/>
    </w:r>
    <w:r w:rsidR="00A85398" w:rsidRPr="00F55648">
      <w:rPr>
        <w:iCs/>
        <w:sz w:val="16"/>
        <w:szCs w:val="16"/>
      </w:rPr>
      <w:tab/>
    </w:r>
    <w:r w:rsidR="00A85398" w:rsidRPr="00F55648">
      <w:rPr>
        <w:iCs/>
        <w:sz w:val="16"/>
        <w:szCs w:val="16"/>
      </w:rPr>
      <w:tab/>
    </w:r>
    <w:r w:rsidR="00A85398" w:rsidRPr="00F55648">
      <w:rPr>
        <w:i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7F9" w14:textId="77777777" w:rsidR="00A85398" w:rsidRDefault="00A8539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4FFA" w14:textId="77777777" w:rsidR="00A85398" w:rsidRDefault="00A85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3A032BBF" w14:textId="77777777" w:rsidR="00A85398" w:rsidRDefault="00A853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3CD0" w14:textId="77777777" w:rsidR="00A85398" w:rsidRDefault="00A85398">
    <w:pPr>
      <w:pStyle w:val="Footer"/>
      <w:framePr w:wrap="around" w:vAnchor="text" w:hAnchor="page" w:x="6069" w:y="-17"/>
      <w:rPr>
        <w:rStyle w:val="PageNumber"/>
      </w:rPr>
    </w:pPr>
  </w:p>
  <w:p w14:paraId="046BC62B" w14:textId="1B8605B5" w:rsidR="00A85398" w:rsidRDefault="001173B3" w:rsidP="00020004">
    <w:pPr>
      <w:pStyle w:val="Footer"/>
      <w:pBdr>
        <w:top w:val="single" w:sz="4" w:space="0" w:color="auto"/>
      </w:pBdr>
      <w:jc w:val="both"/>
      <w:rPr>
        <w:sz w:val="18"/>
        <w:szCs w:val="18"/>
      </w:rPr>
    </w:pPr>
    <w:r w:rsidRPr="00020004">
      <w:rPr>
        <w:noProof/>
        <w:sz w:val="18"/>
        <w:szCs w:val="18"/>
      </w:rPr>
      <w:drawing>
        <wp:inline distT="0" distB="0" distL="0" distR="0" wp14:anchorId="201EF1D3" wp14:editId="487DC1F1">
          <wp:extent cx="349250" cy="33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49250" cy="330200"/>
                  </a:xfrm>
                  <a:prstGeom prst="rect">
                    <a:avLst/>
                  </a:prstGeom>
                  <a:noFill/>
                  <a:ln>
                    <a:noFill/>
                  </a:ln>
                </pic:spPr>
              </pic:pic>
            </a:graphicData>
          </a:graphic>
        </wp:inline>
      </w:drawing>
    </w:r>
    <w:r w:rsidR="00A85398" w:rsidRPr="00020004">
      <w:rPr>
        <w:sz w:val="18"/>
        <w:szCs w:val="18"/>
      </w:rPr>
      <w:t xml:space="preserve">Standards Committee MOP – </w:t>
    </w:r>
    <w:r w:rsidR="00A85398" w:rsidRPr="00020004">
      <w:rPr>
        <w:i/>
        <w:sz w:val="18"/>
        <w:szCs w:val="18"/>
      </w:rPr>
      <w:t>Manual of Procedures</w:t>
    </w:r>
    <w:r w:rsidR="00A85398" w:rsidRPr="00020004">
      <w:rPr>
        <w:sz w:val="18"/>
        <w:szCs w:val="18"/>
      </w:rPr>
      <w:t xml:space="preserve"> </w:t>
    </w:r>
  </w:p>
  <w:p w14:paraId="359E017D" w14:textId="77777777" w:rsidR="00A85398" w:rsidRPr="00020004" w:rsidRDefault="00A85398" w:rsidP="00020004">
    <w:pPr>
      <w:pStyle w:val="Footer"/>
      <w:pBdr>
        <w:top w:val="single" w:sz="4" w:space="0" w:color="auto"/>
      </w:pBdr>
      <w:jc w:val="both"/>
      <w:rPr>
        <w:sz w:val="18"/>
        <w:szCs w:val="18"/>
      </w:rPr>
    </w:pPr>
    <w:r>
      <w:rPr>
        <w:sz w:val="18"/>
        <w:szCs w:val="18"/>
      </w:rPr>
      <w:t xml:space="preserve">            January 21, 2008</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CC33" w14:textId="23368D2A" w:rsidR="00A85398" w:rsidRPr="00431E19" w:rsidRDefault="001173B3" w:rsidP="00244B45">
    <w:pPr>
      <w:pStyle w:val="Footer"/>
      <w:pBdr>
        <w:top w:val="single" w:sz="4" w:space="0" w:color="auto"/>
      </w:pBdr>
      <w:tabs>
        <w:tab w:val="clear" w:pos="4320"/>
        <w:tab w:val="clear" w:pos="8640"/>
      </w:tabs>
      <w:jc w:val="both"/>
      <w:rPr>
        <w:i/>
        <w:sz w:val="18"/>
        <w:szCs w:val="18"/>
      </w:rPr>
    </w:pPr>
    <w:r w:rsidRPr="007B247A">
      <w:rPr>
        <w:noProof/>
        <w:sz w:val="28"/>
        <w:szCs w:val="28"/>
      </w:rPr>
      <w:drawing>
        <wp:inline distT="0" distB="0" distL="0" distR="0" wp14:anchorId="5E2FE3B2" wp14:editId="567A0C4B">
          <wp:extent cx="298450" cy="203200"/>
          <wp:effectExtent l="0" t="0" r="0" b="0"/>
          <wp:docPr id="4"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03200"/>
                  </a:xfrm>
                  <a:prstGeom prst="rect">
                    <a:avLst/>
                  </a:prstGeom>
                  <a:noFill/>
                  <a:ln>
                    <a:noFill/>
                  </a:ln>
                </pic:spPr>
              </pic:pic>
            </a:graphicData>
          </a:graphic>
        </wp:inline>
      </w:drawing>
    </w:r>
    <w:r w:rsidR="00A85398" w:rsidRPr="00431E19">
      <w:rPr>
        <w:b/>
        <w:sz w:val="18"/>
        <w:szCs w:val="18"/>
      </w:rPr>
      <w:t xml:space="preserve">Standards Committee MOP – </w:t>
    </w:r>
    <w:r w:rsidR="00A85398" w:rsidRPr="00431E19">
      <w:rPr>
        <w:i/>
        <w:sz w:val="18"/>
        <w:szCs w:val="18"/>
      </w:rPr>
      <w:t>Manual of Procedures</w:t>
    </w:r>
    <w:r w:rsidR="00A85398" w:rsidRPr="00431E19">
      <w:rPr>
        <w:sz w:val="18"/>
        <w:szCs w:val="18"/>
      </w:rPr>
      <w:t xml:space="preserve"> </w:t>
    </w:r>
    <w:r w:rsidR="00A85398" w:rsidRPr="00431E19">
      <w:rPr>
        <w:sz w:val="18"/>
        <w:szCs w:val="18"/>
      </w:rPr>
      <w:tab/>
    </w:r>
    <w:r w:rsidR="00A85398" w:rsidRPr="00431E19">
      <w:rPr>
        <w:sz w:val="18"/>
        <w:szCs w:val="18"/>
      </w:rPr>
      <w:tab/>
    </w:r>
    <w:r w:rsidR="00A85398" w:rsidRPr="00431E19">
      <w:rPr>
        <w:sz w:val="18"/>
        <w:szCs w:val="18"/>
      </w:rPr>
      <w:tab/>
    </w:r>
    <w:r w:rsidR="00A85398" w:rsidRPr="00431E19">
      <w:rPr>
        <w:sz w:val="18"/>
        <w:szCs w:val="18"/>
      </w:rPr>
      <w:tab/>
    </w:r>
    <w:r w:rsidR="00A85398" w:rsidRPr="00431E19">
      <w:rPr>
        <w:sz w:val="18"/>
        <w:szCs w:val="18"/>
      </w:rPr>
      <w:tab/>
    </w:r>
  </w:p>
  <w:p w14:paraId="43BC8370" w14:textId="53209CBB" w:rsidR="00A85398" w:rsidRDefault="00A85398" w:rsidP="00745E61">
    <w:pPr>
      <w:pStyle w:val="Footer"/>
      <w:tabs>
        <w:tab w:val="clear" w:pos="4320"/>
        <w:tab w:val="clear" w:pos="8640"/>
      </w:tabs>
      <w:rPr>
        <w:sz w:val="16"/>
        <w:szCs w:val="16"/>
      </w:rPr>
    </w:pPr>
    <w:r>
      <w:rPr>
        <w:sz w:val="18"/>
        <w:szCs w:val="18"/>
      </w:rPr>
      <w:t xml:space="preserve">        </w:t>
    </w:r>
    <w:r w:rsidR="00996BC7">
      <w:rPr>
        <w:sz w:val="18"/>
        <w:szCs w:val="18"/>
      </w:rPr>
      <w:t>January 27, 2023</w:t>
    </w:r>
    <w:r w:rsidRPr="00633598">
      <w:rPr>
        <w:sz w:val="16"/>
        <w:szCs w:val="16"/>
      </w:rPr>
      <w:tab/>
    </w:r>
    <w:r w:rsidRPr="00633598">
      <w:rPr>
        <w:sz w:val="16"/>
        <w:szCs w:val="16"/>
      </w:rPr>
      <w:tab/>
    </w:r>
    <w:r w:rsidRPr="00633598">
      <w:rPr>
        <w:sz w:val="16"/>
        <w:szCs w:val="16"/>
      </w:rPr>
      <w:tab/>
    </w:r>
    <w:r w:rsidRPr="00633598">
      <w:rPr>
        <w:sz w:val="16"/>
        <w:szCs w:val="16"/>
      </w:rPr>
      <w:tab/>
      <w:t xml:space="preserve">      </w:t>
    </w:r>
    <w:r>
      <w:rPr>
        <w:sz w:val="16"/>
        <w:szCs w:val="16"/>
      </w:rPr>
      <w:tab/>
    </w:r>
  </w:p>
  <w:p w14:paraId="320B4165" w14:textId="77777777" w:rsidR="00A85398" w:rsidRPr="00633598" w:rsidRDefault="00A85398" w:rsidP="00745E61">
    <w:pPr>
      <w:pStyle w:val="Footer"/>
      <w:tabs>
        <w:tab w:val="clear" w:pos="4320"/>
        <w:tab w:val="clear" w:pos="8640"/>
      </w:tabs>
      <w:jc w:val="center"/>
      <w:rPr>
        <w:sz w:val="16"/>
        <w:szCs w:val="16"/>
      </w:rPr>
    </w:pPr>
    <w:r w:rsidRPr="00E31244">
      <w:rPr>
        <w:sz w:val="16"/>
        <w:szCs w:val="16"/>
      </w:rPr>
      <w:t xml:space="preserve">Page </w:t>
    </w:r>
    <w:r w:rsidRPr="00E31244">
      <w:rPr>
        <w:rStyle w:val="PageNumber"/>
        <w:sz w:val="16"/>
        <w:szCs w:val="16"/>
      </w:rPr>
      <w:fldChar w:fldCharType="begin"/>
    </w:r>
    <w:r w:rsidRPr="00E31244">
      <w:rPr>
        <w:rStyle w:val="PageNumber"/>
        <w:sz w:val="16"/>
        <w:szCs w:val="16"/>
      </w:rPr>
      <w:instrText xml:space="preserve"> PAGE </w:instrText>
    </w:r>
    <w:r w:rsidRPr="00E31244">
      <w:rPr>
        <w:rStyle w:val="PageNumber"/>
        <w:sz w:val="16"/>
        <w:szCs w:val="16"/>
      </w:rPr>
      <w:fldChar w:fldCharType="separate"/>
    </w:r>
    <w:r w:rsidR="00EB3273">
      <w:rPr>
        <w:rStyle w:val="PageNumber"/>
        <w:noProof/>
        <w:sz w:val="16"/>
        <w:szCs w:val="16"/>
      </w:rPr>
      <w:t>13</w:t>
    </w:r>
    <w:r w:rsidRPr="00E31244">
      <w:rPr>
        <w:rStyle w:val="PageNumbe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AC66" w14:textId="77777777" w:rsidR="00A85398" w:rsidRDefault="00A85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5F3F9FF1" w14:textId="77777777" w:rsidR="00A85398" w:rsidRDefault="00A8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F930" w14:textId="77777777" w:rsidR="00021E17" w:rsidRDefault="00021E17">
      <w:r>
        <w:separator/>
      </w:r>
    </w:p>
  </w:footnote>
  <w:footnote w:type="continuationSeparator" w:id="0">
    <w:p w14:paraId="047CA39F" w14:textId="77777777" w:rsidR="00021E17" w:rsidRDefault="0002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D164" w14:textId="77777777" w:rsidR="00A85398" w:rsidRDefault="00A85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43A0AC8"/>
    <w:lvl w:ilvl="0">
      <w:start w:val="1"/>
      <w:numFmt w:val="decimal"/>
      <w:pStyle w:val="ListNumber2"/>
      <w:lvlText w:val="%1."/>
      <w:lvlJc w:val="left"/>
      <w:pPr>
        <w:tabs>
          <w:tab w:val="num" w:pos="720"/>
        </w:tabs>
        <w:ind w:left="720" w:hanging="360"/>
      </w:pPr>
    </w:lvl>
  </w:abstractNum>
  <w:abstractNum w:abstractNumId="1" w15:restartNumberingAfterBreak="0">
    <w:nsid w:val="01251B27"/>
    <w:multiLevelType w:val="hybridMultilevel"/>
    <w:tmpl w:val="81229900"/>
    <w:lvl w:ilvl="0" w:tplc="3D08E024">
      <w:start w:val="1"/>
      <w:numFmt w:val="lowerLetter"/>
      <w:lvlText w:val="%1)"/>
      <w:lvlJc w:val="left"/>
      <w:pPr>
        <w:tabs>
          <w:tab w:val="num" w:pos="1440"/>
        </w:tabs>
        <w:ind w:left="1440" w:hanging="360"/>
      </w:pPr>
      <w:rPr>
        <w:rFonts w:ascii="Times New Roman" w:hAnsi="Times New Roman" w:hint="default"/>
        <w:b w:val="0"/>
        <w:i w:val="0"/>
        <w:sz w:val="22"/>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035780"/>
    <w:multiLevelType w:val="hybridMultilevel"/>
    <w:tmpl w:val="24A2C5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321CE"/>
    <w:multiLevelType w:val="hybridMultilevel"/>
    <w:tmpl w:val="4C3AC214"/>
    <w:lvl w:ilvl="0" w:tplc="9A82F978">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962A3"/>
    <w:multiLevelType w:val="hybridMultilevel"/>
    <w:tmpl w:val="8312E7FC"/>
    <w:lvl w:ilvl="0" w:tplc="4CC4828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925C5F"/>
    <w:multiLevelType w:val="hybridMultilevel"/>
    <w:tmpl w:val="FD00B328"/>
    <w:lvl w:ilvl="0" w:tplc="01E85B6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F7B"/>
    <w:multiLevelType w:val="hybridMultilevel"/>
    <w:tmpl w:val="1242B1D4"/>
    <w:lvl w:ilvl="0" w:tplc="7814169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C41C4C"/>
    <w:multiLevelType w:val="hybridMultilevel"/>
    <w:tmpl w:val="B5ECD0BE"/>
    <w:lvl w:ilvl="0" w:tplc="AE266722">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7C5503B"/>
    <w:multiLevelType w:val="hybridMultilevel"/>
    <w:tmpl w:val="5BF407C2"/>
    <w:lvl w:ilvl="0" w:tplc="8DDA759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396247"/>
    <w:multiLevelType w:val="hybridMultilevel"/>
    <w:tmpl w:val="01347462"/>
    <w:lvl w:ilvl="0" w:tplc="8ED2B7F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464C73"/>
    <w:multiLevelType w:val="hybridMultilevel"/>
    <w:tmpl w:val="2EF4A3E8"/>
    <w:lvl w:ilvl="0" w:tplc="23CEF9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260BF"/>
    <w:multiLevelType w:val="hybridMultilevel"/>
    <w:tmpl w:val="8340AA58"/>
    <w:lvl w:ilvl="0" w:tplc="E250D87C">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70A"/>
    <w:multiLevelType w:val="hybridMultilevel"/>
    <w:tmpl w:val="AFD86FD8"/>
    <w:lvl w:ilvl="0" w:tplc="D3C6125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1819B6"/>
    <w:multiLevelType w:val="hybridMultilevel"/>
    <w:tmpl w:val="0CB6F32C"/>
    <w:lvl w:ilvl="0" w:tplc="E8F6B0C0">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D3DD7"/>
    <w:multiLevelType w:val="hybridMultilevel"/>
    <w:tmpl w:val="39000CA4"/>
    <w:lvl w:ilvl="0" w:tplc="F660815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D720567"/>
    <w:multiLevelType w:val="hybridMultilevel"/>
    <w:tmpl w:val="BFE898DC"/>
    <w:lvl w:ilvl="0" w:tplc="71F43666">
      <w:start w:val="1"/>
      <w:numFmt w:val="lowerLetter"/>
      <w:lvlText w:val="%1)"/>
      <w:lvlJc w:val="left"/>
      <w:pPr>
        <w:tabs>
          <w:tab w:val="num" w:pos="720"/>
        </w:tabs>
        <w:ind w:left="720" w:hanging="360"/>
      </w:pPr>
      <w:rPr>
        <w:rFonts w:ascii="Times New Roman" w:hAnsi="Times New Roman" w:hint="default"/>
        <w:b w:val="0"/>
        <w:i w:val="0"/>
        <w:sz w:val="20"/>
        <w:szCs w:val="20"/>
      </w:rPr>
    </w:lvl>
    <w:lvl w:ilvl="1" w:tplc="9AA8882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0925E8B"/>
    <w:multiLevelType w:val="hybridMultilevel"/>
    <w:tmpl w:val="AAB8FF28"/>
    <w:lvl w:ilvl="0" w:tplc="4D66C6B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CF0F5C"/>
    <w:multiLevelType w:val="hybridMultilevel"/>
    <w:tmpl w:val="EE247044"/>
    <w:lvl w:ilvl="0" w:tplc="2F9868D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DA2720"/>
    <w:multiLevelType w:val="hybridMultilevel"/>
    <w:tmpl w:val="56ECF296"/>
    <w:lvl w:ilvl="0" w:tplc="9328E92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55246A"/>
    <w:multiLevelType w:val="hybridMultilevel"/>
    <w:tmpl w:val="7EF4EE86"/>
    <w:lvl w:ilvl="0" w:tplc="08BEB54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D24A76"/>
    <w:multiLevelType w:val="hybridMultilevel"/>
    <w:tmpl w:val="A15A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3141E3"/>
    <w:multiLevelType w:val="hybridMultilevel"/>
    <w:tmpl w:val="A484DAC4"/>
    <w:lvl w:ilvl="0" w:tplc="175808D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FF26BC"/>
    <w:multiLevelType w:val="hybridMultilevel"/>
    <w:tmpl w:val="AB0A4E00"/>
    <w:lvl w:ilvl="0" w:tplc="78A4BC9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CE7D7D"/>
    <w:multiLevelType w:val="hybridMultilevel"/>
    <w:tmpl w:val="F0D4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BA30C8"/>
    <w:multiLevelType w:val="hybridMultilevel"/>
    <w:tmpl w:val="2D92A268"/>
    <w:lvl w:ilvl="0" w:tplc="8098B54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C67CC9"/>
    <w:multiLevelType w:val="hybridMultilevel"/>
    <w:tmpl w:val="208E39BA"/>
    <w:lvl w:ilvl="0" w:tplc="F51CF104">
      <w:start w:val="1"/>
      <w:numFmt w:val="bullet"/>
      <w:lvlText w:val=""/>
      <w:lvlJc w:val="left"/>
      <w:pPr>
        <w:tabs>
          <w:tab w:val="num" w:pos="720"/>
        </w:tabs>
        <w:ind w:left="72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CA6947"/>
    <w:multiLevelType w:val="singleLevel"/>
    <w:tmpl w:val="7A0459AC"/>
    <w:lvl w:ilvl="0">
      <w:start w:val="1"/>
      <w:numFmt w:val="lowerLetter"/>
      <w:lvlText w:val="%1)"/>
      <w:lvlJc w:val="left"/>
      <w:pPr>
        <w:tabs>
          <w:tab w:val="num" w:pos="720"/>
        </w:tabs>
        <w:ind w:left="720" w:hanging="360"/>
      </w:pPr>
      <w:rPr>
        <w:rFonts w:ascii="Times New Roman" w:hAnsi="Times New Roman" w:hint="default"/>
        <w:b w:val="0"/>
        <w:i w:val="0"/>
        <w:sz w:val="20"/>
        <w:szCs w:val="20"/>
      </w:rPr>
    </w:lvl>
  </w:abstractNum>
  <w:abstractNum w:abstractNumId="28" w15:restartNumberingAfterBreak="0">
    <w:nsid w:val="1B036D98"/>
    <w:multiLevelType w:val="hybridMultilevel"/>
    <w:tmpl w:val="4FCCCEA4"/>
    <w:lvl w:ilvl="0" w:tplc="1380694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C2F7FC5"/>
    <w:multiLevelType w:val="hybridMultilevel"/>
    <w:tmpl w:val="15A4B008"/>
    <w:lvl w:ilvl="0" w:tplc="459867B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C7F7276"/>
    <w:multiLevelType w:val="hybridMultilevel"/>
    <w:tmpl w:val="F6B04D26"/>
    <w:lvl w:ilvl="0" w:tplc="0C1842CA">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0F0856"/>
    <w:multiLevelType w:val="hybridMultilevel"/>
    <w:tmpl w:val="0CD6F2FA"/>
    <w:lvl w:ilvl="0" w:tplc="C7FA694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D6D2491"/>
    <w:multiLevelType w:val="multilevel"/>
    <w:tmpl w:val="61661BF6"/>
    <w:lvl w:ilvl="0">
      <w:start w:val="1"/>
      <w:numFmt w:val="lowerLetter"/>
      <w:lvlText w:val="%1)"/>
      <w:lvlJc w:val="left"/>
      <w:pPr>
        <w:tabs>
          <w:tab w:val="num" w:pos="720"/>
        </w:tabs>
        <w:ind w:left="720" w:hanging="360"/>
      </w:pPr>
      <w:rPr>
        <w:rFonts w:ascii="Times New Roman" w:hAnsi="Times New Roman" w:hint="default"/>
        <w:b w:val="0"/>
        <w:i w:val="0"/>
        <w:sz w:val="20"/>
        <w:szCs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1E3D4FA6"/>
    <w:multiLevelType w:val="hybridMultilevel"/>
    <w:tmpl w:val="9CBC87F2"/>
    <w:lvl w:ilvl="0" w:tplc="DE005A9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1BA21B6"/>
    <w:multiLevelType w:val="hybridMultilevel"/>
    <w:tmpl w:val="EFB47DD4"/>
    <w:lvl w:ilvl="0" w:tplc="3092A794">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F36302"/>
    <w:multiLevelType w:val="hybridMultilevel"/>
    <w:tmpl w:val="1230406E"/>
    <w:lvl w:ilvl="0" w:tplc="43D4ADC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64E3584"/>
    <w:multiLevelType w:val="hybridMultilevel"/>
    <w:tmpl w:val="933E4016"/>
    <w:lvl w:ilvl="0" w:tplc="3464704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2BC31E98"/>
    <w:multiLevelType w:val="singleLevel"/>
    <w:tmpl w:val="73AAC2F2"/>
    <w:lvl w:ilvl="0">
      <w:start w:val="1"/>
      <w:numFmt w:val="decimal"/>
      <w:lvlText w:val="%1."/>
      <w:lvlJc w:val="left"/>
      <w:pPr>
        <w:tabs>
          <w:tab w:val="num" w:pos="720"/>
        </w:tabs>
        <w:ind w:left="720" w:hanging="360"/>
      </w:pPr>
      <w:rPr>
        <w:rFonts w:hint="default"/>
      </w:rPr>
    </w:lvl>
  </w:abstractNum>
  <w:abstractNum w:abstractNumId="38" w15:restartNumberingAfterBreak="0">
    <w:nsid w:val="2D26345B"/>
    <w:multiLevelType w:val="hybridMultilevel"/>
    <w:tmpl w:val="A68E0F48"/>
    <w:lvl w:ilvl="0" w:tplc="E892BF8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D5D7DC6"/>
    <w:multiLevelType w:val="hybridMultilevel"/>
    <w:tmpl w:val="6C92A880"/>
    <w:lvl w:ilvl="0" w:tplc="E7C28846">
      <w:start w:val="1"/>
      <w:numFmt w:val="lowerLetter"/>
      <w:lvlText w:val="%1)"/>
      <w:lvlJc w:val="left"/>
      <w:pPr>
        <w:tabs>
          <w:tab w:val="num" w:pos="1440"/>
        </w:tabs>
        <w:ind w:left="1440" w:hanging="360"/>
      </w:pPr>
      <w:rPr>
        <w:rFonts w:hint="default"/>
        <w:b/>
        <w:i w:val="0"/>
      </w:rPr>
    </w:lvl>
    <w:lvl w:ilvl="1" w:tplc="27EA8D3C">
      <w:start w:val="1"/>
      <w:numFmt w:val="lowerLetter"/>
      <w:lvlText w:val="%2)"/>
      <w:lvlJc w:val="left"/>
      <w:pPr>
        <w:tabs>
          <w:tab w:val="num" w:pos="720"/>
        </w:tabs>
        <w:ind w:left="720" w:hanging="360"/>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0E75CBE"/>
    <w:multiLevelType w:val="hybridMultilevel"/>
    <w:tmpl w:val="572EE102"/>
    <w:lvl w:ilvl="0" w:tplc="F51CC6F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7619BF"/>
    <w:multiLevelType w:val="hybridMultilevel"/>
    <w:tmpl w:val="BE7C1CF4"/>
    <w:lvl w:ilvl="0" w:tplc="5F7CB5EE">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2884FE8"/>
    <w:multiLevelType w:val="hybridMultilevel"/>
    <w:tmpl w:val="631EFC48"/>
    <w:lvl w:ilvl="0" w:tplc="2A184AC6">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3126501"/>
    <w:multiLevelType w:val="hybridMultilevel"/>
    <w:tmpl w:val="26AACA88"/>
    <w:lvl w:ilvl="0" w:tplc="83F6D89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4D92036"/>
    <w:multiLevelType w:val="hybridMultilevel"/>
    <w:tmpl w:val="BD3E8262"/>
    <w:lvl w:ilvl="0" w:tplc="2CC0470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63A0696"/>
    <w:multiLevelType w:val="hybridMultilevel"/>
    <w:tmpl w:val="CB866952"/>
    <w:lvl w:ilvl="0" w:tplc="72E6476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7E371D"/>
    <w:multiLevelType w:val="hybridMultilevel"/>
    <w:tmpl w:val="0610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9D6DE5"/>
    <w:multiLevelType w:val="hybridMultilevel"/>
    <w:tmpl w:val="DAA46C3A"/>
    <w:lvl w:ilvl="0" w:tplc="63C62D1E">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39512272"/>
    <w:multiLevelType w:val="hybridMultilevel"/>
    <w:tmpl w:val="6352CBCA"/>
    <w:lvl w:ilvl="0" w:tplc="23CEF9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617551"/>
    <w:multiLevelType w:val="hybridMultilevel"/>
    <w:tmpl w:val="FF701A80"/>
    <w:lvl w:ilvl="0" w:tplc="A3BAC7B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7A02CD"/>
    <w:multiLevelType w:val="hybridMultilevel"/>
    <w:tmpl w:val="6128D5D4"/>
    <w:lvl w:ilvl="0" w:tplc="23CEF9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F724796"/>
    <w:multiLevelType w:val="hybridMultilevel"/>
    <w:tmpl w:val="1F0C6F2A"/>
    <w:lvl w:ilvl="0" w:tplc="31587D30">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905E55"/>
    <w:multiLevelType w:val="hybridMultilevel"/>
    <w:tmpl w:val="51E2AE9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48715A65"/>
    <w:multiLevelType w:val="hybridMultilevel"/>
    <w:tmpl w:val="1F0ED876"/>
    <w:lvl w:ilvl="0" w:tplc="D676115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A654306"/>
    <w:multiLevelType w:val="hybridMultilevel"/>
    <w:tmpl w:val="7BBC611E"/>
    <w:lvl w:ilvl="0" w:tplc="A81E0C3C">
      <w:start w:val="3"/>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683E88"/>
    <w:multiLevelType w:val="hybridMultilevel"/>
    <w:tmpl w:val="93966A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700384"/>
    <w:multiLevelType w:val="hybridMultilevel"/>
    <w:tmpl w:val="2FE01408"/>
    <w:lvl w:ilvl="0" w:tplc="F0C08DD8">
      <w:start w:val="1"/>
      <w:numFmt w:val="lowerLetter"/>
      <w:lvlText w:val="%1)"/>
      <w:lvlJc w:val="left"/>
      <w:pPr>
        <w:tabs>
          <w:tab w:val="num" w:pos="720"/>
        </w:tabs>
        <w:ind w:left="720" w:hanging="360"/>
      </w:pPr>
      <w:rPr>
        <w:rFonts w:ascii="Times New Roman" w:hAnsi="Times New Roman" w:hint="default"/>
        <w:b w:val="0"/>
        <w:i w:val="0"/>
        <w:sz w:val="20"/>
        <w:szCs w:val="20"/>
      </w:rPr>
    </w:lvl>
    <w:lvl w:ilvl="1" w:tplc="89D2BE62">
      <w:start w:val="1"/>
      <w:numFmt w:val="lowerLetter"/>
      <w:lvlText w:val="%2)"/>
      <w:lvlJc w:val="left"/>
      <w:pPr>
        <w:tabs>
          <w:tab w:val="num" w:pos="720"/>
        </w:tabs>
        <w:ind w:left="720" w:hanging="360"/>
      </w:pPr>
      <w:rPr>
        <w:rFonts w:ascii="Times New Roman" w:hAnsi="Times New Roman"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AF7D23"/>
    <w:multiLevelType w:val="hybridMultilevel"/>
    <w:tmpl w:val="10EEF2F8"/>
    <w:lvl w:ilvl="0" w:tplc="5814908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1B70B0"/>
    <w:multiLevelType w:val="hybridMultilevel"/>
    <w:tmpl w:val="EAC66DE0"/>
    <w:lvl w:ilvl="0" w:tplc="EA6857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107458E"/>
    <w:multiLevelType w:val="hybridMultilevel"/>
    <w:tmpl w:val="F6F4A724"/>
    <w:lvl w:ilvl="0" w:tplc="F95AB0A2">
      <w:start w:val="1"/>
      <w:numFmt w:val="bullet"/>
      <w:lvlText w:val=""/>
      <w:lvlJc w:val="left"/>
      <w:pPr>
        <w:tabs>
          <w:tab w:val="num" w:pos="720"/>
        </w:tabs>
        <w:ind w:left="720" w:hanging="360"/>
      </w:pPr>
      <w:rPr>
        <w:rFonts w:ascii="Wingdings" w:hAnsi="Wingdings" w:hint="default"/>
        <w:b/>
        <w:i w:val="0"/>
        <w:sz w:val="16"/>
        <w:szCs w:val="16"/>
      </w:rPr>
    </w:lvl>
    <w:lvl w:ilvl="1" w:tplc="2CDE91BA">
      <w:start w:val="1"/>
      <w:numFmt w:val="bullet"/>
      <w:lvlText w:val=""/>
      <w:lvlJc w:val="left"/>
      <w:pPr>
        <w:tabs>
          <w:tab w:val="num" w:pos="1440"/>
        </w:tabs>
        <w:ind w:left="1440" w:hanging="360"/>
      </w:pPr>
      <w:rPr>
        <w:rFonts w:ascii="Symbol" w:hAnsi="Symbol" w:hint="default"/>
        <w:b/>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1FC755E"/>
    <w:multiLevelType w:val="hybridMultilevel"/>
    <w:tmpl w:val="DBC0F32E"/>
    <w:lvl w:ilvl="0" w:tplc="73F03952">
      <w:start w:val="3"/>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9A2B24"/>
    <w:multiLevelType w:val="hybridMultilevel"/>
    <w:tmpl w:val="8376D858"/>
    <w:lvl w:ilvl="0" w:tplc="5628B3B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347046E"/>
    <w:multiLevelType w:val="singleLevel"/>
    <w:tmpl w:val="CD00F9FA"/>
    <w:lvl w:ilvl="0">
      <w:start w:val="1"/>
      <w:numFmt w:val="lowerLetter"/>
      <w:lvlText w:val="%1)"/>
      <w:lvlJc w:val="left"/>
      <w:pPr>
        <w:tabs>
          <w:tab w:val="num" w:pos="720"/>
        </w:tabs>
        <w:ind w:left="720" w:hanging="360"/>
      </w:pPr>
      <w:rPr>
        <w:rFonts w:hint="default"/>
      </w:rPr>
    </w:lvl>
  </w:abstractNum>
  <w:abstractNum w:abstractNumId="63" w15:restartNumberingAfterBreak="0">
    <w:nsid w:val="53C046AC"/>
    <w:multiLevelType w:val="hybridMultilevel"/>
    <w:tmpl w:val="E452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107E6B"/>
    <w:multiLevelType w:val="hybridMultilevel"/>
    <w:tmpl w:val="2DB6ECD4"/>
    <w:lvl w:ilvl="0" w:tplc="14FC771E">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F55A47"/>
    <w:multiLevelType w:val="hybridMultilevel"/>
    <w:tmpl w:val="32D44690"/>
    <w:lvl w:ilvl="0" w:tplc="5996212E">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A460877"/>
    <w:multiLevelType w:val="hybridMultilevel"/>
    <w:tmpl w:val="E9C83244"/>
    <w:lvl w:ilvl="0" w:tplc="08060EF6">
      <w:start w:val="1"/>
      <w:numFmt w:val="decimal"/>
      <w:lvlText w:val="%1."/>
      <w:lvlJc w:val="left"/>
      <w:pPr>
        <w:tabs>
          <w:tab w:val="num" w:pos="1080"/>
        </w:tabs>
        <w:ind w:left="108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C184D56"/>
    <w:multiLevelType w:val="singleLevel"/>
    <w:tmpl w:val="2ECCC5C8"/>
    <w:lvl w:ilvl="0">
      <w:start w:val="1"/>
      <w:numFmt w:val="upperLetter"/>
      <w:lvlText w:val="%1."/>
      <w:lvlJc w:val="left"/>
      <w:pPr>
        <w:tabs>
          <w:tab w:val="num" w:pos="360"/>
        </w:tabs>
        <w:ind w:left="360" w:hanging="360"/>
      </w:pPr>
      <w:rPr>
        <w:rFonts w:hint="default"/>
        <w:u w:val="single"/>
      </w:rPr>
    </w:lvl>
  </w:abstractNum>
  <w:abstractNum w:abstractNumId="68" w15:restartNumberingAfterBreak="0">
    <w:nsid w:val="5DA71429"/>
    <w:multiLevelType w:val="hybridMultilevel"/>
    <w:tmpl w:val="9D122446"/>
    <w:lvl w:ilvl="0" w:tplc="48A0747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DD27BA6"/>
    <w:multiLevelType w:val="hybridMultilevel"/>
    <w:tmpl w:val="DDEEA9F2"/>
    <w:lvl w:ilvl="0" w:tplc="3950273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F6D229A"/>
    <w:multiLevelType w:val="hybridMultilevel"/>
    <w:tmpl w:val="5792DEEE"/>
    <w:lvl w:ilvl="0" w:tplc="1430C9C8">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0056219"/>
    <w:multiLevelType w:val="hybridMultilevel"/>
    <w:tmpl w:val="37DC3E3A"/>
    <w:lvl w:ilvl="0" w:tplc="3640900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0753AE5"/>
    <w:multiLevelType w:val="hybridMultilevel"/>
    <w:tmpl w:val="84728CC6"/>
    <w:lvl w:ilvl="0" w:tplc="BCBCFEFA">
      <w:start w:val="1"/>
      <w:numFmt w:val="decimal"/>
      <w:lvlText w:val="%1."/>
      <w:lvlJc w:val="left"/>
      <w:pPr>
        <w:tabs>
          <w:tab w:val="num" w:pos="1080"/>
        </w:tabs>
        <w:ind w:left="1080" w:hanging="360"/>
      </w:pPr>
      <w:rPr>
        <w:rFonts w:ascii="Times New Roman" w:hAnsi="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3A570AD"/>
    <w:multiLevelType w:val="hybridMultilevel"/>
    <w:tmpl w:val="996C36BC"/>
    <w:lvl w:ilvl="0" w:tplc="3C644356">
      <w:start w:val="1"/>
      <w:numFmt w:val="lowerLetter"/>
      <w:lvlText w:val="%1)"/>
      <w:lvlJc w:val="left"/>
      <w:pPr>
        <w:tabs>
          <w:tab w:val="num" w:pos="720"/>
        </w:tabs>
        <w:ind w:left="720" w:hanging="360"/>
      </w:pPr>
      <w:rPr>
        <w:rFonts w:ascii="Times New Roman" w:hAnsi="Times New Roman" w:hint="default"/>
        <w:b w:val="0"/>
        <w:i w:val="0"/>
        <w:sz w:val="20"/>
        <w:szCs w:val="20"/>
      </w:rPr>
    </w:lvl>
    <w:lvl w:ilvl="1" w:tplc="226CDDA2">
      <w:start w:val="1"/>
      <w:numFmt w:val="decimal"/>
      <w:lvlText w:val="%2."/>
      <w:lvlJc w:val="left"/>
      <w:pPr>
        <w:tabs>
          <w:tab w:val="num" w:pos="1080"/>
        </w:tabs>
        <w:ind w:left="1080" w:hanging="360"/>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3D4161C"/>
    <w:multiLevelType w:val="hybridMultilevel"/>
    <w:tmpl w:val="DF6A7286"/>
    <w:lvl w:ilvl="0" w:tplc="23CEF9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4711D7C"/>
    <w:multiLevelType w:val="hybridMultilevel"/>
    <w:tmpl w:val="EAC66DE0"/>
    <w:lvl w:ilvl="0" w:tplc="EA6857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50664B5"/>
    <w:multiLevelType w:val="hybridMultilevel"/>
    <w:tmpl w:val="7D349BEC"/>
    <w:lvl w:ilvl="0" w:tplc="1E98310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51C1F1E"/>
    <w:multiLevelType w:val="hybridMultilevel"/>
    <w:tmpl w:val="7AF20088"/>
    <w:lvl w:ilvl="0" w:tplc="AB045104">
      <w:start w:val="1"/>
      <w:numFmt w:val="lowerLetter"/>
      <w:lvlText w:val="%1)"/>
      <w:lvlJc w:val="left"/>
      <w:pPr>
        <w:tabs>
          <w:tab w:val="num" w:pos="720"/>
        </w:tabs>
        <w:ind w:left="720" w:hanging="360"/>
      </w:pPr>
      <w:rPr>
        <w:rFonts w:ascii="Times New Roman" w:hAnsi="Times New Roman"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64A764A"/>
    <w:multiLevelType w:val="hybridMultilevel"/>
    <w:tmpl w:val="A5C4DCAC"/>
    <w:lvl w:ilvl="0" w:tplc="DC1CE25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4A3A6F"/>
    <w:multiLevelType w:val="singleLevel"/>
    <w:tmpl w:val="6F184688"/>
    <w:lvl w:ilvl="0">
      <w:start w:val="1"/>
      <w:numFmt w:val="lowerLetter"/>
      <w:lvlText w:val="%1)"/>
      <w:lvlJc w:val="left"/>
      <w:pPr>
        <w:tabs>
          <w:tab w:val="num" w:pos="720"/>
        </w:tabs>
        <w:ind w:left="720" w:hanging="360"/>
      </w:pPr>
      <w:rPr>
        <w:rFonts w:ascii="Times New Roman" w:hAnsi="Times New Roman" w:hint="default"/>
        <w:b w:val="0"/>
        <w:i w:val="0"/>
        <w:sz w:val="20"/>
        <w:szCs w:val="20"/>
      </w:rPr>
    </w:lvl>
  </w:abstractNum>
  <w:abstractNum w:abstractNumId="80" w15:restartNumberingAfterBreak="0">
    <w:nsid w:val="6905330E"/>
    <w:multiLevelType w:val="hybridMultilevel"/>
    <w:tmpl w:val="BC5822C2"/>
    <w:lvl w:ilvl="0" w:tplc="EBEA1BFC">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98B3B74"/>
    <w:multiLevelType w:val="hybridMultilevel"/>
    <w:tmpl w:val="1DB60FF4"/>
    <w:lvl w:ilvl="0" w:tplc="266C8AA2">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B35549"/>
    <w:multiLevelType w:val="hybridMultilevel"/>
    <w:tmpl w:val="47C0F49A"/>
    <w:lvl w:ilvl="0" w:tplc="08060EF6">
      <w:start w:val="1"/>
      <w:numFmt w:val="decimal"/>
      <w:lvlText w:val="%1."/>
      <w:lvlJc w:val="left"/>
      <w:pPr>
        <w:tabs>
          <w:tab w:val="num" w:pos="1080"/>
        </w:tabs>
        <w:ind w:left="1080" w:hanging="360"/>
      </w:pPr>
      <w:rPr>
        <w:rFonts w:ascii="Times New Roman" w:hAnsi="Times New Roman" w:hint="default"/>
        <w:b w:val="0"/>
        <w:i w:val="0"/>
        <w:sz w:val="20"/>
        <w:szCs w:val="20"/>
      </w:rPr>
    </w:lvl>
    <w:lvl w:ilvl="1" w:tplc="BDE0E6D6">
      <w:start w:val="2"/>
      <w:numFmt w:val="lowerLetter"/>
      <w:lvlText w:val="%2)"/>
      <w:lvlJc w:val="left"/>
      <w:pPr>
        <w:tabs>
          <w:tab w:val="num" w:pos="720"/>
        </w:tabs>
        <w:ind w:left="720" w:hanging="360"/>
      </w:pPr>
      <w:rPr>
        <w:rFonts w:ascii="Times New Roman" w:hAnsi="Times New Roman"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9F3543A"/>
    <w:multiLevelType w:val="hybridMultilevel"/>
    <w:tmpl w:val="D520CDEC"/>
    <w:lvl w:ilvl="0" w:tplc="1CEA8226">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BA85A2B"/>
    <w:multiLevelType w:val="hybridMultilevel"/>
    <w:tmpl w:val="DB1A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034867"/>
    <w:multiLevelType w:val="hybridMultilevel"/>
    <w:tmpl w:val="92D21D1A"/>
    <w:lvl w:ilvl="0" w:tplc="E0A0F89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015041"/>
    <w:multiLevelType w:val="hybridMultilevel"/>
    <w:tmpl w:val="A232D628"/>
    <w:lvl w:ilvl="0" w:tplc="E8A6DB2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F991E5D"/>
    <w:multiLevelType w:val="hybridMultilevel"/>
    <w:tmpl w:val="244CCF2E"/>
    <w:lvl w:ilvl="0" w:tplc="C658B0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FC52C47"/>
    <w:multiLevelType w:val="hybridMultilevel"/>
    <w:tmpl w:val="DCE8317E"/>
    <w:lvl w:ilvl="0" w:tplc="D6ECC46E">
      <w:start w:val="1"/>
      <w:numFmt w:val="lowerLetter"/>
      <w:lvlText w:val="Option %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90" w15:restartNumberingAfterBreak="0">
    <w:nsid w:val="71C974A7"/>
    <w:multiLevelType w:val="hybridMultilevel"/>
    <w:tmpl w:val="FBDA7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6D1487"/>
    <w:multiLevelType w:val="hybridMultilevel"/>
    <w:tmpl w:val="F650F75E"/>
    <w:lvl w:ilvl="0" w:tplc="EA845662">
      <w:start w:val="1"/>
      <w:numFmt w:val="decimal"/>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4D9093A"/>
    <w:multiLevelType w:val="hybridMultilevel"/>
    <w:tmpl w:val="2D56B508"/>
    <w:lvl w:ilvl="0" w:tplc="254C4C72">
      <w:start w:val="1"/>
      <w:numFmt w:val="bullet"/>
      <w:lvlText w:val=""/>
      <w:lvlJc w:val="left"/>
      <w:pPr>
        <w:tabs>
          <w:tab w:val="num" w:pos="720"/>
        </w:tabs>
        <w:ind w:left="720" w:hanging="360"/>
      </w:pPr>
      <w:rPr>
        <w:rFonts w:ascii="Wingdings" w:hAnsi="Wingdings"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59B078E"/>
    <w:multiLevelType w:val="hybridMultilevel"/>
    <w:tmpl w:val="E374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C95136"/>
    <w:multiLevelType w:val="hybridMultilevel"/>
    <w:tmpl w:val="46127C60"/>
    <w:lvl w:ilvl="0" w:tplc="5814908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AD21F16"/>
    <w:multiLevelType w:val="hybridMultilevel"/>
    <w:tmpl w:val="8574484C"/>
    <w:lvl w:ilvl="0" w:tplc="D046C08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E2526D6"/>
    <w:multiLevelType w:val="hybridMultilevel"/>
    <w:tmpl w:val="2CB0C47A"/>
    <w:lvl w:ilvl="0" w:tplc="4EB2745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F21795D"/>
    <w:multiLevelType w:val="hybridMultilevel"/>
    <w:tmpl w:val="911C6578"/>
    <w:lvl w:ilvl="0" w:tplc="2A2E807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F827DAB"/>
    <w:multiLevelType w:val="hybridMultilevel"/>
    <w:tmpl w:val="CCA09BC0"/>
    <w:lvl w:ilvl="0" w:tplc="B0B4592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7052960">
    <w:abstractNumId w:val="62"/>
  </w:num>
  <w:num w:numId="2" w16cid:durableId="554850437">
    <w:abstractNumId w:val="27"/>
  </w:num>
  <w:num w:numId="3" w16cid:durableId="650720352">
    <w:abstractNumId w:val="67"/>
  </w:num>
  <w:num w:numId="4" w16cid:durableId="2003505176">
    <w:abstractNumId w:val="32"/>
  </w:num>
  <w:num w:numId="5" w16cid:durableId="690225422">
    <w:abstractNumId w:val="37"/>
  </w:num>
  <w:num w:numId="6" w16cid:durableId="454301038">
    <w:abstractNumId w:val="79"/>
  </w:num>
  <w:num w:numId="7" w16cid:durableId="1081298919">
    <w:abstractNumId w:val="0"/>
  </w:num>
  <w:num w:numId="8" w16cid:durableId="441073339">
    <w:abstractNumId w:val="15"/>
  </w:num>
  <w:num w:numId="9" w16cid:durableId="1091437921">
    <w:abstractNumId w:val="39"/>
  </w:num>
  <w:num w:numId="10" w16cid:durableId="363869850">
    <w:abstractNumId w:val="59"/>
  </w:num>
  <w:num w:numId="11" w16cid:durableId="1700619394">
    <w:abstractNumId w:val="54"/>
  </w:num>
  <w:num w:numId="12" w16cid:durableId="535968338">
    <w:abstractNumId w:val="65"/>
  </w:num>
  <w:num w:numId="13" w16cid:durableId="613639530">
    <w:abstractNumId w:val="83"/>
  </w:num>
  <w:num w:numId="14" w16cid:durableId="1696076920">
    <w:abstractNumId w:val="64"/>
  </w:num>
  <w:num w:numId="15" w16cid:durableId="1823963657">
    <w:abstractNumId w:val="34"/>
  </w:num>
  <w:num w:numId="16" w16cid:durableId="1875579091">
    <w:abstractNumId w:val="26"/>
  </w:num>
  <w:num w:numId="17" w16cid:durableId="320545957">
    <w:abstractNumId w:val="30"/>
  </w:num>
  <w:num w:numId="18" w16cid:durableId="332802566">
    <w:abstractNumId w:val="51"/>
  </w:num>
  <w:num w:numId="19" w16cid:durableId="1543635737">
    <w:abstractNumId w:val="60"/>
  </w:num>
  <w:num w:numId="20" w16cid:durableId="391269331">
    <w:abstractNumId w:val="3"/>
  </w:num>
  <w:num w:numId="21" w16cid:durableId="516889037">
    <w:abstractNumId w:val="80"/>
  </w:num>
  <w:num w:numId="22" w16cid:durableId="1929846741">
    <w:abstractNumId w:val="41"/>
  </w:num>
  <w:num w:numId="23" w16cid:durableId="1599481340">
    <w:abstractNumId w:val="92"/>
  </w:num>
  <w:num w:numId="24" w16cid:durableId="1708868230">
    <w:abstractNumId w:val="42"/>
  </w:num>
  <w:num w:numId="25" w16cid:durableId="1331248363">
    <w:abstractNumId w:val="11"/>
  </w:num>
  <w:num w:numId="26" w16cid:durableId="944188872">
    <w:abstractNumId w:val="81"/>
  </w:num>
  <w:num w:numId="27" w16cid:durableId="2124808221">
    <w:abstractNumId w:val="13"/>
  </w:num>
  <w:num w:numId="28" w16cid:durableId="2127582516">
    <w:abstractNumId w:val="70"/>
  </w:num>
  <w:num w:numId="29" w16cid:durableId="2050180119">
    <w:abstractNumId w:val="73"/>
  </w:num>
  <w:num w:numId="30" w16cid:durableId="1792095033">
    <w:abstractNumId w:val="68"/>
  </w:num>
  <w:num w:numId="31" w16cid:durableId="1565603098">
    <w:abstractNumId w:val="40"/>
  </w:num>
  <w:num w:numId="32" w16cid:durableId="1879002068">
    <w:abstractNumId w:val="8"/>
  </w:num>
  <w:num w:numId="33" w16cid:durableId="1070536711">
    <w:abstractNumId w:val="16"/>
  </w:num>
  <w:num w:numId="34" w16cid:durableId="1851749393">
    <w:abstractNumId w:val="98"/>
  </w:num>
  <w:num w:numId="35" w16cid:durableId="2027948390">
    <w:abstractNumId w:val="61"/>
  </w:num>
  <w:num w:numId="36" w16cid:durableId="1351639901">
    <w:abstractNumId w:val="44"/>
  </w:num>
  <w:num w:numId="37" w16cid:durableId="812332355">
    <w:abstractNumId w:val="69"/>
  </w:num>
  <w:num w:numId="38" w16cid:durableId="129369062">
    <w:abstractNumId w:val="96"/>
  </w:num>
  <w:num w:numId="39" w16cid:durableId="1216089813">
    <w:abstractNumId w:val="87"/>
  </w:num>
  <w:num w:numId="40" w16cid:durableId="1060860732">
    <w:abstractNumId w:val="17"/>
  </w:num>
  <w:num w:numId="41" w16cid:durableId="671690382">
    <w:abstractNumId w:val="35"/>
  </w:num>
  <w:num w:numId="42" w16cid:durableId="1191722594">
    <w:abstractNumId w:val="14"/>
  </w:num>
  <w:num w:numId="43" w16cid:durableId="1776287770">
    <w:abstractNumId w:val="31"/>
  </w:num>
  <w:num w:numId="44" w16cid:durableId="578558474">
    <w:abstractNumId w:val="45"/>
  </w:num>
  <w:num w:numId="45" w16cid:durableId="782506132">
    <w:abstractNumId w:val="28"/>
  </w:num>
  <w:num w:numId="46" w16cid:durableId="543490414">
    <w:abstractNumId w:val="21"/>
  </w:num>
  <w:num w:numId="47" w16cid:durableId="79526731">
    <w:abstractNumId w:val="38"/>
  </w:num>
  <w:num w:numId="48" w16cid:durableId="1328943352">
    <w:abstractNumId w:val="19"/>
  </w:num>
  <w:num w:numId="49" w16cid:durableId="1061832480">
    <w:abstractNumId w:val="53"/>
  </w:num>
  <w:num w:numId="50" w16cid:durableId="1776905867">
    <w:abstractNumId w:val="33"/>
  </w:num>
  <w:num w:numId="51" w16cid:durableId="686711142">
    <w:abstractNumId w:val="4"/>
  </w:num>
  <w:num w:numId="52" w16cid:durableId="1632590871">
    <w:abstractNumId w:val="78"/>
  </w:num>
  <w:num w:numId="53" w16cid:durableId="686641468">
    <w:abstractNumId w:val="76"/>
  </w:num>
  <w:num w:numId="54" w16cid:durableId="652375862">
    <w:abstractNumId w:val="36"/>
  </w:num>
  <w:num w:numId="55" w16cid:durableId="550389166">
    <w:abstractNumId w:val="56"/>
  </w:num>
  <w:num w:numId="56" w16cid:durableId="1713113718">
    <w:abstractNumId w:val="85"/>
  </w:num>
  <w:num w:numId="57" w16cid:durableId="42216387">
    <w:abstractNumId w:val="49"/>
  </w:num>
  <w:num w:numId="58" w16cid:durableId="385573747">
    <w:abstractNumId w:val="12"/>
  </w:num>
  <w:num w:numId="59" w16cid:durableId="1835143327">
    <w:abstractNumId w:val="94"/>
  </w:num>
  <w:num w:numId="60" w16cid:durableId="1375232225">
    <w:abstractNumId w:val="57"/>
  </w:num>
  <w:num w:numId="61" w16cid:durableId="1643076371">
    <w:abstractNumId w:val="72"/>
  </w:num>
  <w:num w:numId="62" w16cid:durableId="736123401">
    <w:abstractNumId w:val="9"/>
  </w:num>
  <w:num w:numId="63" w16cid:durableId="1240480321">
    <w:abstractNumId w:val="95"/>
  </w:num>
  <w:num w:numId="64" w16cid:durableId="68159726">
    <w:abstractNumId w:val="25"/>
  </w:num>
  <w:num w:numId="65" w16cid:durableId="949169254">
    <w:abstractNumId w:val="5"/>
  </w:num>
  <w:num w:numId="66" w16cid:durableId="170875908">
    <w:abstractNumId w:val="97"/>
  </w:num>
  <w:num w:numId="67" w16cid:durableId="1057818524">
    <w:abstractNumId w:val="22"/>
  </w:num>
  <w:num w:numId="68" w16cid:durableId="468086697">
    <w:abstractNumId w:val="86"/>
  </w:num>
  <w:num w:numId="69" w16cid:durableId="1973056385">
    <w:abstractNumId w:val="6"/>
  </w:num>
  <w:num w:numId="70" w16cid:durableId="2103060673">
    <w:abstractNumId w:val="82"/>
  </w:num>
  <w:num w:numId="71" w16cid:durableId="521895195">
    <w:abstractNumId w:val="18"/>
  </w:num>
  <w:num w:numId="72" w16cid:durableId="1366518888">
    <w:abstractNumId w:val="66"/>
  </w:num>
  <w:num w:numId="73" w16cid:durableId="386345940">
    <w:abstractNumId w:val="29"/>
  </w:num>
  <w:num w:numId="74" w16cid:durableId="744911361">
    <w:abstractNumId w:val="91"/>
  </w:num>
  <w:num w:numId="75" w16cid:durableId="1858960428">
    <w:abstractNumId w:val="88"/>
  </w:num>
  <w:num w:numId="76" w16cid:durableId="1742174344">
    <w:abstractNumId w:val="71"/>
  </w:num>
  <w:num w:numId="77" w16cid:durableId="1462727781">
    <w:abstractNumId w:val="43"/>
  </w:num>
  <w:num w:numId="78" w16cid:durableId="444620018">
    <w:abstractNumId w:val="10"/>
  </w:num>
  <w:num w:numId="79" w16cid:durableId="90975360">
    <w:abstractNumId w:val="50"/>
  </w:num>
  <w:num w:numId="80" w16cid:durableId="1773935922">
    <w:abstractNumId w:val="74"/>
  </w:num>
  <w:num w:numId="81" w16cid:durableId="1150290322">
    <w:abstractNumId w:val="52"/>
  </w:num>
  <w:num w:numId="82" w16cid:durableId="1312101542">
    <w:abstractNumId w:val="1"/>
  </w:num>
  <w:num w:numId="83" w16cid:durableId="1275600954">
    <w:abstractNumId w:val="77"/>
  </w:num>
  <w:num w:numId="84" w16cid:durableId="272323865">
    <w:abstractNumId w:val="48"/>
  </w:num>
  <w:num w:numId="85" w16cid:durableId="1667586190">
    <w:abstractNumId w:val="2"/>
  </w:num>
  <w:num w:numId="86" w16cid:durableId="205144890">
    <w:abstractNumId w:val="90"/>
  </w:num>
  <w:num w:numId="87" w16cid:durableId="107689687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17989866">
    <w:abstractNumId w:val="24"/>
  </w:num>
  <w:num w:numId="89" w16cid:durableId="716009225">
    <w:abstractNumId w:val="63"/>
  </w:num>
  <w:num w:numId="90" w16cid:durableId="197855844">
    <w:abstractNumId w:val="84"/>
  </w:num>
  <w:num w:numId="91" w16cid:durableId="1081409853">
    <w:abstractNumId w:val="93"/>
  </w:num>
  <w:num w:numId="92" w16cid:durableId="890844223">
    <w:abstractNumId w:val="20"/>
  </w:num>
  <w:num w:numId="93" w16cid:durableId="240066415">
    <w:abstractNumId w:val="46"/>
  </w:num>
  <w:num w:numId="94" w16cid:durableId="4060725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96770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206585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038420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49217669">
    <w:abstractNumId w:val="55"/>
  </w:num>
  <w:num w:numId="99" w16cid:durableId="1090781555">
    <w:abstractNumId w:val="89"/>
  </w:num>
  <w:num w:numId="100" w16cid:durableId="1299216466">
    <w:abstractNumId w:val="2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21"/>
    <w:rsid w:val="0000216A"/>
    <w:rsid w:val="0000262C"/>
    <w:rsid w:val="00005220"/>
    <w:rsid w:val="000055C4"/>
    <w:rsid w:val="00005EB2"/>
    <w:rsid w:val="00011770"/>
    <w:rsid w:val="00011B4D"/>
    <w:rsid w:val="00012605"/>
    <w:rsid w:val="0001268C"/>
    <w:rsid w:val="000136C4"/>
    <w:rsid w:val="000160E2"/>
    <w:rsid w:val="000164CB"/>
    <w:rsid w:val="00020004"/>
    <w:rsid w:val="000208DB"/>
    <w:rsid w:val="00021E17"/>
    <w:rsid w:val="00022208"/>
    <w:rsid w:val="00023997"/>
    <w:rsid w:val="00027BFC"/>
    <w:rsid w:val="000306C3"/>
    <w:rsid w:val="00033442"/>
    <w:rsid w:val="000345EB"/>
    <w:rsid w:val="0003732E"/>
    <w:rsid w:val="00040623"/>
    <w:rsid w:val="000420FD"/>
    <w:rsid w:val="00042C8D"/>
    <w:rsid w:val="00043C3D"/>
    <w:rsid w:val="00047400"/>
    <w:rsid w:val="00050970"/>
    <w:rsid w:val="00051D82"/>
    <w:rsid w:val="00053A71"/>
    <w:rsid w:val="00054C49"/>
    <w:rsid w:val="0005699C"/>
    <w:rsid w:val="00062485"/>
    <w:rsid w:val="00063BF9"/>
    <w:rsid w:val="00064FB7"/>
    <w:rsid w:val="0006532A"/>
    <w:rsid w:val="000657CF"/>
    <w:rsid w:val="000667BD"/>
    <w:rsid w:val="0007002C"/>
    <w:rsid w:val="000700D1"/>
    <w:rsid w:val="00072ABC"/>
    <w:rsid w:val="000734B7"/>
    <w:rsid w:val="00074075"/>
    <w:rsid w:val="000745DA"/>
    <w:rsid w:val="000746CA"/>
    <w:rsid w:val="00075AFE"/>
    <w:rsid w:val="00077FBE"/>
    <w:rsid w:val="00080521"/>
    <w:rsid w:val="00081890"/>
    <w:rsid w:val="00082EFB"/>
    <w:rsid w:val="00086979"/>
    <w:rsid w:val="00087302"/>
    <w:rsid w:val="00091CCD"/>
    <w:rsid w:val="00093E57"/>
    <w:rsid w:val="000940F4"/>
    <w:rsid w:val="0009551E"/>
    <w:rsid w:val="00097096"/>
    <w:rsid w:val="00097CBF"/>
    <w:rsid w:val="000A109B"/>
    <w:rsid w:val="000A3514"/>
    <w:rsid w:val="000A38AA"/>
    <w:rsid w:val="000A43E2"/>
    <w:rsid w:val="000A553C"/>
    <w:rsid w:val="000A7B24"/>
    <w:rsid w:val="000B155C"/>
    <w:rsid w:val="000B25B7"/>
    <w:rsid w:val="000B5960"/>
    <w:rsid w:val="000C005C"/>
    <w:rsid w:val="000C1331"/>
    <w:rsid w:val="000C6D8F"/>
    <w:rsid w:val="000C792E"/>
    <w:rsid w:val="000D1854"/>
    <w:rsid w:val="000D69B9"/>
    <w:rsid w:val="000E34D8"/>
    <w:rsid w:val="000E5655"/>
    <w:rsid w:val="000E7963"/>
    <w:rsid w:val="000F444C"/>
    <w:rsid w:val="000F6DF5"/>
    <w:rsid w:val="00100124"/>
    <w:rsid w:val="00100936"/>
    <w:rsid w:val="001030E1"/>
    <w:rsid w:val="00103E90"/>
    <w:rsid w:val="00106AD5"/>
    <w:rsid w:val="00106D86"/>
    <w:rsid w:val="001122AF"/>
    <w:rsid w:val="00113847"/>
    <w:rsid w:val="001173B3"/>
    <w:rsid w:val="001213BA"/>
    <w:rsid w:val="00122D33"/>
    <w:rsid w:val="001239E9"/>
    <w:rsid w:val="00125454"/>
    <w:rsid w:val="00125D38"/>
    <w:rsid w:val="00126B39"/>
    <w:rsid w:val="001407D9"/>
    <w:rsid w:val="0014099F"/>
    <w:rsid w:val="00141D52"/>
    <w:rsid w:val="001430EF"/>
    <w:rsid w:val="00144913"/>
    <w:rsid w:val="0014578D"/>
    <w:rsid w:val="00150CF1"/>
    <w:rsid w:val="0015465C"/>
    <w:rsid w:val="00155AB9"/>
    <w:rsid w:val="001560C0"/>
    <w:rsid w:val="001600C4"/>
    <w:rsid w:val="001641D5"/>
    <w:rsid w:val="00166261"/>
    <w:rsid w:val="001706B5"/>
    <w:rsid w:val="0017354F"/>
    <w:rsid w:val="00174682"/>
    <w:rsid w:val="00174F6A"/>
    <w:rsid w:val="00175BFD"/>
    <w:rsid w:val="00175E2F"/>
    <w:rsid w:val="001763F9"/>
    <w:rsid w:val="001769F3"/>
    <w:rsid w:val="00183D5E"/>
    <w:rsid w:val="0018550F"/>
    <w:rsid w:val="00186078"/>
    <w:rsid w:val="00186368"/>
    <w:rsid w:val="00186644"/>
    <w:rsid w:val="0019072C"/>
    <w:rsid w:val="00193DF7"/>
    <w:rsid w:val="0019556B"/>
    <w:rsid w:val="001A482D"/>
    <w:rsid w:val="001B4B30"/>
    <w:rsid w:val="001C0AF9"/>
    <w:rsid w:val="001C17F3"/>
    <w:rsid w:val="001C3C64"/>
    <w:rsid w:val="001C5110"/>
    <w:rsid w:val="001C6984"/>
    <w:rsid w:val="001D04D8"/>
    <w:rsid w:val="001D1233"/>
    <w:rsid w:val="001D2AE7"/>
    <w:rsid w:val="001D2F17"/>
    <w:rsid w:val="001D46F9"/>
    <w:rsid w:val="001E0C69"/>
    <w:rsid w:val="001E18F5"/>
    <w:rsid w:val="001E32BF"/>
    <w:rsid w:val="001E4F77"/>
    <w:rsid w:val="001E57D1"/>
    <w:rsid w:val="001F1419"/>
    <w:rsid w:val="001F1CF9"/>
    <w:rsid w:val="001F2A8A"/>
    <w:rsid w:val="001F37A2"/>
    <w:rsid w:val="001F3C5B"/>
    <w:rsid w:val="001F4BF8"/>
    <w:rsid w:val="001F4FD0"/>
    <w:rsid w:val="002044ED"/>
    <w:rsid w:val="002049B5"/>
    <w:rsid w:val="002079FC"/>
    <w:rsid w:val="002103B3"/>
    <w:rsid w:val="002116F2"/>
    <w:rsid w:val="00215159"/>
    <w:rsid w:val="00221BF7"/>
    <w:rsid w:val="002258D7"/>
    <w:rsid w:val="0023344F"/>
    <w:rsid w:val="0024215B"/>
    <w:rsid w:val="00242551"/>
    <w:rsid w:val="00243BA5"/>
    <w:rsid w:val="00244B45"/>
    <w:rsid w:val="002513CC"/>
    <w:rsid w:val="00252E2C"/>
    <w:rsid w:val="00253154"/>
    <w:rsid w:val="00255E6B"/>
    <w:rsid w:val="00261D05"/>
    <w:rsid w:val="00261E09"/>
    <w:rsid w:val="00261FA6"/>
    <w:rsid w:val="002634AA"/>
    <w:rsid w:val="002661CC"/>
    <w:rsid w:val="00270168"/>
    <w:rsid w:val="00271098"/>
    <w:rsid w:val="002710A8"/>
    <w:rsid w:val="002740F4"/>
    <w:rsid w:val="0027600A"/>
    <w:rsid w:val="0028095F"/>
    <w:rsid w:val="002826B6"/>
    <w:rsid w:val="00282BCD"/>
    <w:rsid w:val="00283435"/>
    <w:rsid w:val="00287B80"/>
    <w:rsid w:val="00290108"/>
    <w:rsid w:val="00291304"/>
    <w:rsid w:val="00291A2A"/>
    <w:rsid w:val="00291C31"/>
    <w:rsid w:val="002946E7"/>
    <w:rsid w:val="002A0BE4"/>
    <w:rsid w:val="002A1A27"/>
    <w:rsid w:val="002A1AC6"/>
    <w:rsid w:val="002A2473"/>
    <w:rsid w:val="002A2739"/>
    <w:rsid w:val="002A2B72"/>
    <w:rsid w:val="002A53CB"/>
    <w:rsid w:val="002A6663"/>
    <w:rsid w:val="002A6E0F"/>
    <w:rsid w:val="002B03C0"/>
    <w:rsid w:val="002B5341"/>
    <w:rsid w:val="002B6DE3"/>
    <w:rsid w:val="002B7017"/>
    <w:rsid w:val="002B7EA8"/>
    <w:rsid w:val="002C2175"/>
    <w:rsid w:val="002C22E7"/>
    <w:rsid w:val="002C44FE"/>
    <w:rsid w:val="002C73F6"/>
    <w:rsid w:val="002D0489"/>
    <w:rsid w:val="002D0E92"/>
    <w:rsid w:val="002D2B1E"/>
    <w:rsid w:val="002D6AC5"/>
    <w:rsid w:val="002D6F2F"/>
    <w:rsid w:val="002E14B4"/>
    <w:rsid w:val="002E24D6"/>
    <w:rsid w:val="002E5204"/>
    <w:rsid w:val="002E6256"/>
    <w:rsid w:val="002F41E2"/>
    <w:rsid w:val="002F4EC8"/>
    <w:rsid w:val="002F56FE"/>
    <w:rsid w:val="0030044C"/>
    <w:rsid w:val="003053CA"/>
    <w:rsid w:val="00305DA2"/>
    <w:rsid w:val="003075E2"/>
    <w:rsid w:val="00307E08"/>
    <w:rsid w:val="00310897"/>
    <w:rsid w:val="003129A5"/>
    <w:rsid w:val="00313049"/>
    <w:rsid w:val="00325C49"/>
    <w:rsid w:val="00326869"/>
    <w:rsid w:val="00333186"/>
    <w:rsid w:val="00335649"/>
    <w:rsid w:val="00341F86"/>
    <w:rsid w:val="00342642"/>
    <w:rsid w:val="0034427C"/>
    <w:rsid w:val="003448D7"/>
    <w:rsid w:val="003456AB"/>
    <w:rsid w:val="003530E9"/>
    <w:rsid w:val="00354EC4"/>
    <w:rsid w:val="00355E0E"/>
    <w:rsid w:val="0036341D"/>
    <w:rsid w:val="00363946"/>
    <w:rsid w:val="00367E48"/>
    <w:rsid w:val="003706FB"/>
    <w:rsid w:val="00371984"/>
    <w:rsid w:val="00372410"/>
    <w:rsid w:val="003731EC"/>
    <w:rsid w:val="003753E8"/>
    <w:rsid w:val="0037604D"/>
    <w:rsid w:val="00381FC5"/>
    <w:rsid w:val="0038482D"/>
    <w:rsid w:val="003868EB"/>
    <w:rsid w:val="00390D28"/>
    <w:rsid w:val="00394494"/>
    <w:rsid w:val="00395229"/>
    <w:rsid w:val="00395240"/>
    <w:rsid w:val="00396177"/>
    <w:rsid w:val="003962A5"/>
    <w:rsid w:val="003A57E8"/>
    <w:rsid w:val="003B0473"/>
    <w:rsid w:val="003B45FA"/>
    <w:rsid w:val="003B5B58"/>
    <w:rsid w:val="003B613A"/>
    <w:rsid w:val="003C138C"/>
    <w:rsid w:val="003C370B"/>
    <w:rsid w:val="003C4717"/>
    <w:rsid w:val="003D293E"/>
    <w:rsid w:val="003D4B62"/>
    <w:rsid w:val="003E0DC0"/>
    <w:rsid w:val="003E152F"/>
    <w:rsid w:val="003E4444"/>
    <w:rsid w:val="003E7235"/>
    <w:rsid w:val="003E7399"/>
    <w:rsid w:val="003F2BC1"/>
    <w:rsid w:val="003F4F01"/>
    <w:rsid w:val="00402F11"/>
    <w:rsid w:val="004073B6"/>
    <w:rsid w:val="00411310"/>
    <w:rsid w:val="00411532"/>
    <w:rsid w:val="00411E4D"/>
    <w:rsid w:val="0041307F"/>
    <w:rsid w:val="0041337D"/>
    <w:rsid w:val="00413DD4"/>
    <w:rsid w:val="00413E83"/>
    <w:rsid w:val="00417D82"/>
    <w:rsid w:val="00420FFA"/>
    <w:rsid w:val="004216B7"/>
    <w:rsid w:val="00421A45"/>
    <w:rsid w:val="004241B7"/>
    <w:rsid w:val="00427EF8"/>
    <w:rsid w:val="00431189"/>
    <w:rsid w:val="00431303"/>
    <w:rsid w:val="00431E19"/>
    <w:rsid w:val="00440CA0"/>
    <w:rsid w:val="00441F83"/>
    <w:rsid w:val="00443515"/>
    <w:rsid w:val="004450D8"/>
    <w:rsid w:val="00446201"/>
    <w:rsid w:val="00450770"/>
    <w:rsid w:val="00451E53"/>
    <w:rsid w:val="00452BD1"/>
    <w:rsid w:val="004555CC"/>
    <w:rsid w:val="00455985"/>
    <w:rsid w:val="00466806"/>
    <w:rsid w:val="00467FE8"/>
    <w:rsid w:val="00480E34"/>
    <w:rsid w:val="00481FF0"/>
    <w:rsid w:val="004838A8"/>
    <w:rsid w:val="00484831"/>
    <w:rsid w:val="0048657E"/>
    <w:rsid w:val="004873E1"/>
    <w:rsid w:val="00487D71"/>
    <w:rsid w:val="00495700"/>
    <w:rsid w:val="00496477"/>
    <w:rsid w:val="00497918"/>
    <w:rsid w:val="004A1ED3"/>
    <w:rsid w:val="004A317B"/>
    <w:rsid w:val="004A490C"/>
    <w:rsid w:val="004A60B6"/>
    <w:rsid w:val="004B11C1"/>
    <w:rsid w:val="004B1F8E"/>
    <w:rsid w:val="004B2406"/>
    <w:rsid w:val="004B275C"/>
    <w:rsid w:val="004B3532"/>
    <w:rsid w:val="004B4719"/>
    <w:rsid w:val="004C39A1"/>
    <w:rsid w:val="004C618D"/>
    <w:rsid w:val="004C6BE6"/>
    <w:rsid w:val="004C704A"/>
    <w:rsid w:val="004C751E"/>
    <w:rsid w:val="004D139A"/>
    <w:rsid w:val="004D15C1"/>
    <w:rsid w:val="004D25CD"/>
    <w:rsid w:val="004D3C27"/>
    <w:rsid w:val="004D7C99"/>
    <w:rsid w:val="004E0C8B"/>
    <w:rsid w:val="004E1685"/>
    <w:rsid w:val="004E3228"/>
    <w:rsid w:val="004E41BA"/>
    <w:rsid w:val="004E41BE"/>
    <w:rsid w:val="004F1F14"/>
    <w:rsid w:val="004F5FF0"/>
    <w:rsid w:val="004F603C"/>
    <w:rsid w:val="00501F4F"/>
    <w:rsid w:val="00502DC4"/>
    <w:rsid w:val="00503D5D"/>
    <w:rsid w:val="005053D9"/>
    <w:rsid w:val="00505EBC"/>
    <w:rsid w:val="00506DF4"/>
    <w:rsid w:val="00507791"/>
    <w:rsid w:val="00513DF0"/>
    <w:rsid w:val="00517484"/>
    <w:rsid w:val="00520B38"/>
    <w:rsid w:val="00521AE8"/>
    <w:rsid w:val="00525025"/>
    <w:rsid w:val="005252B7"/>
    <w:rsid w:val="00525E92"/>
    <w:rsid w:val="0052693F"/>
    <w:rsid w:val="0052706B"/>
    <w:rsid w:val="005304F4"/>
    <w:rsid w:val="00530C75"/>
    <w:rsid w:val="0053138C"/>
    <w:rsid w:val="00531BD5"/>
    <w:rsid w:val="0053237A"/>
    <w:rsid w:val="00533FD9"/>
    <w:rsid w:val="0053441B"/>
    <w:rsid w:val="005356E1"/>
    <w:rsid w:val="00535D16"/>
    <w:rsid w:val="00536C06"/>
    <w:rsid w:val="0054247B"/>
    <w:rsid w:val="00546464"/>
    <w:rsid w:val="00546D2D"/>
    <w:rsid w:val="00547E80"/>
    <w:rsid w:val="005518DA"/>
    <w:rsid w:val="00551EC4"/>
    <w:rsid w:val="005541CC"/>
    <w:rsid w:val="00563C91"/>
    <w:rsid w:val="0056452A"/>
    <w:rsid w:val="0056531B"/>
    <w:rsid w:val="00567FC8"/>
    <w:rsid w:val="00571DE1"/>
    <w:rsid w:val="00572CEB"/>
    <w:rsid w:val="00574B93"/>
    <w:rsid w:val="00574DAD"/>
    <w:rsid w:val="0057660A"/>
    <w:rsid w:val="005772B0"/>
    <w:rsid w:val="0058111C"/>
    <w:rsid w:val="005811A0"/>
    <w:rsid w:val="005811CE"/>
    <w:rsid w:val="00586009"/>
    <w:rsid w:val="00587AF1"/>
    <w:rsid w:val="005905C9"/>
    <w:rsid w:val="0059194D"/>
    <w:rsid w:val="00594431"/>
    <w:rsid w:val="005947AC"/>
    <w:rsid w:val="00596D06"/>
    <w:rsid w:val="005979CA"/>
    <w:rsid w:val="005A066C"/>
    <w:rsid w:val="005A102A"/>
    <w:rsid w:val="005A2717"/>
    <w:rsid w:val="005A3996"/>
    <w:rsid w:val="005A7E38"/>
    <w:rsid w:val="005B0E4A"/>
    <w:rsid w:val="005B141D"/>
    <w:rsid w:val="005B1DD4"/>
    <w:rsid w:val="005B33A0"/>
    <w:rsid w:val="005B4931"/>
    <w:rsid w:val="005B5E8B"/>
    <w:rsid w:val="005B6941"/>
    <w:rsid w:val="005B6CAB"/>
    <w:rsid w:val="005C1D90"/>
    <w:rsid w:val="005C1FCB"/>
    <w:rsid w:val="005C7256"/>
    <w:rsid w:val="005C7BDB"/>
    <w:rsid w:val="005D0ACC"/>
    <w:rsid w:val="005D25F7"/>
    <w:rsid w:val="005D30F3"/>
    <w:rsid w:val="005D3D03"/>
    <w:rsid w:val="005D428A"/>
    <w:rsid w:val="005D4AA9"/>
    <w:rsid w:val="005D58B2"/>
    <w:rsid w:val="005E428D"/>
    <w:rsid w:val="005E69AD"/>
    <w:rsid w:val="005E774F"/>
    <w:rsid w:val="005F2EE4"/>
    <w:rsid w:val="005F39B2"/>
    <w:rsid w:val="005F3EF6"/>
    <w:rsid w:val="005F3FF8"/>
    <w:rsid w:val="005F5482"/>
    <w:rsid w:val="00600344"/>
    <w:rsid w:val="006009A7"/>
    <w:rsid w:val="00601687"/>
    <w:rsid w:val="006042F2"/>
    <w:rsid w:val="00606778"/>
    <w:rsid w:val="00610736"/>
    <w:rsid w:val="00611AA4"/>
    <w:rsid w:val="00611D93"/>
    <w:rsid w:val="0061375C"/>
    <w:rsid w:val="00613F8A"/>
    <w:rsid w:val="006141C9"/>
    <w:rsid w:val="0061476A"/>
    <w:rsid w:val="00615F89"/>
    <w:rsid w:val="006165BD"/>
    <w:rsid w:val="006174A3"/>
    <w:rsid w:val="00625859"/>
    <w:rsid w:val="00626DBD"/>
    <w:rsid w:val="00627298"/>
    <w:rsid w:val="006300B9"/>
    <w:rsid w:val="00630751"/>
    <w:rsid w:val="00631DD6"/>
    <w:rsid w:val="00633461"/>
    <w:rsid w:val="00633598"/>
    <w:rsid w:val="0063487B"/>
    <w:rsid w:val="00635EC9"/>
    <w:rsid w:val="006363FD"/>
    <w:rsid w:val="00636B26"/>
    <w:rsid w:val="00641634"/>
    <w:rsid w:val="00641B64"/>
    <w:rsid w:val="00642432"/>
    <w:rsid w:val="00644B4C"/>
    <w:rsid w:val="00644CB0"/>
    <w:rsid w:val="00647E22"/>
    <w:rsid w:val="00647EE8"/>
    <w:rsid w:val="0065256F"/>
    <w:rsid w:val="00652BDA"/>
    <w:rsid w:val="006552B0"/>
    <w:rsid w:val="00655926"/>
    <w:rsid w:val="006575D5"/>
    <w:rsid w:val="00660380"/>
    <w:rsid w:val="00660F74"/>
    <w:rsid w:val="0066246F"/>
    <w:rsid w:val="00662649"/>
    <w:rsid w:val="00662658"/>
    <w:rsid w:val="006633A0"/>
    <w:rsid w:val="00665FAE"/>
    <w:rsid w:val="0067581C"/>
    <w:rsid w:val="00677922"/>
    <w:rsid w:val="00680D3B"/>
    <w:rsid w:val="00682AAC"/>
    <w:rsid w:val="0068702C"/>
    <w:rsid w:val="00687454"/>
    <w:rsid w:val="0069193A"/>
    <w:rsid w:val="006A0211"/>
    <w:rsid w:val="006A25B3"/>
    <w:rsid w:val="006A5038"/>
    <w:rsid w:val="006A7958"/>
    <w:rsid w:val="006A7ADA"/>
    <w:rsid w:val="006B24AD"/>
    <w:rsid w:val="006B3422"/>
    <w:rsid w:val="006B3F3D"/>
    <w:rsid w:val="006B63E9"/>
    <w:rsid w:val="006B7D41"/>
    <w:rsid w:val="006C1049"/>
    <w:rsid w:val="006C528E"/>
    <w:rsid w:val="006C6D47"/>
    <w:rsid w:val="006C775C"/>
    <w:rsid w:val="006D2830"/>
    <w:rsid w:val="006D3128"/>
    <w:rsid w:val="006D3FB4"/>
    <w:rsid w:val="006D59A3"/>
    <w:rsid w:val="006D5B22"/>
    <w:rsid w:val="006E33F5"/>
    <w:rsid w:val="006E3999"/>
    <w:rsid w:val="006E3B6B"/>
    <w:rsid w:val="006E632E"/>
    <w:rsid w:val="006F1960"/>
    <w:rsid w:val="006F2DDA"/>
    <w:rsid w:val="006F4003"/>
    <w:rsid w:val="006F6950"/>
    <w:rsid w:val="006F6DBF"/>
    <w:rsid w:val="007006CB"/>
    <w:rsid w:val="00701D55"/>
    <w:rsid w:val="0070322D"/>
    <w:rsid w:val="00705EF6"/>
    <w:rsid w:val="00711E0A"/>
    <w:rsid w:val="00712799"/>
    <w:rsid w:val="00715631"/>
    <w:rsid w:val="007211B0"/>
    <w:rsid w:val="0072143F"/>
    <w:rsid w:val="00723573"/>
    <w:rsid w:val="00724C51"/>
    <w:rsid w:val="00731898"/>
    <w:rsid w:val="007326E7"/>
    <w:rsid w:val="00733B75"/>
    <w:rsid w:val="00735E40"/>
    <w:rsid w:val="007369EC"/>
    <w:rsid w:val="00741B09"/>
    <w:rsid w:val="00743EB8"/>
    <w:rsid w:val="00744A4F"/>
    <w:rsid w:val="00745E61"/>
    <w:rsid w:val="00746909"/>
    <w:rsid w:val="00747C6D"/>
    <w:rsid w:val="00750538"/>
    <w:rsid w:val="00750FCA"/>
    <w:rsid w:val="007527AC"/>
    <w:rsid w:val="0075695E"/>
    <w:rsid w:val="0076293F"/>
    <w:rsid w:val="00764B01"/>
    <w:rsid w:val="00764C71"/>
    <w:rsid w:val="00771164"/>
    <w:rsid w:val="00774B2D"/>
    <w:rsid w:val="007837F7"/>
    <w:rsid w:val="00785537"/>
    <w:rsid w:val="007855CD"/>
    <w:rsid w:val="0078623A"/>
    <w:rsid w:val="007917B8"/>
    <w:rsid w:val="00791B07"/>
    <w:rsid w:val="00792936"/>
    <w:rsid w:val="00793408"/>
    <w:rsid w:val="007A04FB"/>
    <w:rsid w:val="007A062D"/>
    <w:rsid w:val="007A14D8"/>
    <w:rsid w:val="007A1504"/>
    <w:rsid w:val="007A54EA"/>
    <w:rsid w:val="007A5EE2"/>
    <w:rsid w:val="007A7142"/>
    <w:rsid w:val="007B1803"/>
    <w:rsid w:val="007B3B17"/>
    <w:rsid w:val="007B3F39"/>
    <w:rsid w:val="007B44C2"/>
    <w:rsid w:val="007B52DB"/>
    <w:rsid w:val="007B57AC"/>
    <w:rsid w:val="007C05F6"/>
    <w:rsid w:val="007C0B58"/>
    <w:rsid w:val="007C39DF"/>
    <w:rsid w:val="007C42A1"/>
    <w:rsid w:val="007D07AE"/>
    <w:rsid w:val="007D23BE"/>
    <w:rsid w:val="007D3C8B"/>
    <w:rsid w:val="007D3F15"/>
    <w:rsid w:val="007D63C6"/>
    <w:rsid w:val="007E2A5A"/>
    <w:rsid w:val="007E49C6"/>
    <w:rsid w:val="007E66F2"/>
    <w:rsid w:val="007E6A9E"/>
    <w:rsid w:val="007E6B63"/>
    <w:rsid w:val="007F1C9D"/>
    <w:rsid w:val="007F3105"/>
    <w:rsid w:val="007F361D"/>
    <w:rsid w:val="007F5055"/>
    <w:rsid w:val="007F66F5"/>
    <w:rsid w:val="008020ED"/>
    <w:rsid w:val="00802A67"/>
    <w:rsid w:val="00802FD7"/>
    <w:rsid w:val="00803B58"/>
    <w:rsid w:val="0080530E"/>
    <w:rsid w:val="00807D71"/>
    <w:rsid w:val="0081113D"/>
    <w:rsid w:val="008131BC"/>
    <w:rsid w:val="00814C5D"/>
    <w:rsid w:val="00816555"/>
    <w:rsid w:val="0081764A"/>
    <w:rsid w:val="00821E04"/>
    <w:rsid w:val="00823E07"/>
    <w:rsid w:val="00824492"/>
    <w:rsid w:val="008269E0"/>
    <w:rsid w:val="008335B1"/>
    <w:rsid w:val="00835A7F"/>
    <w:rsid w:val="00836702"/>
    <w:rsid w:val="008379A6"/>
    <w:rsid w:val="00842212"/>
    <w:rsid w:val="00842643"/>
    <w:rsid w:val="00842751"/>
    <w:rsid w:val="00842B47"/>
    <w:rsid w:val="0084333A"/>
    <w:rsid w:val="00844033"/>
    <w:rsid w:val="00853DF0"/>
    <w:rsid w:val="00860194"/>
    <w:rsid w:val="00861544"/>
    <w:rsid w:val="008623E0"/>
    <w:rsid w:val="00863018"/>
    <w:rsid w:val="008631B1"/>
    <w:rsid w:val="0086461E"/>
    <w:rsid w:val="00867436"/>
    <w:rsid w:val="00874783"/>
    <w:rsid w:val="008754EC"/>
    <w:rsid w:val="00880C23"/>
    <w:rsid w:val="00882382"/>
    <w:rsid w:val="008832C5"/>
    <w:rsid w:val="00886383"/>
    <w:rsid w:val="00887FE7"/>
    <w:rsid w:val="00891391"/>
    <w:rsid w:val="00893E0D"/>
    <w:rsid w:val="00894BA8"/>
    <w:rsid w:val="00896B0E"/>
    <w:rsid w:val="00897D08"/>
    <w:rsid w:val="008A027D"/>
    <w:rsid w:val="008A06B7"/>
    <w:rsid w:val="008A23F1"/>
    <w:rsid w:val="008A351E"/>
    <w:rsid w:val="008A44D0"/>
    <w:rsid w:val="008A7700"/>
    <w:rsid w:val="008B0528"/>
    <w:rsid w:val="008B4D7F"/>
    <w:rsid w:val="008C0115"/>
    <w:rsid w:val="008C6D34"/>
    <w:rsid w:val="008D2B75"/>
    <w:rsid w:val="008D2DF2"/>
    <w:rsid w:val="008D2F2C"/>
    <w:rsid w:val="008D30BF"/>
    <w:rsid w:val="008D54F5"/>
    <w:rsid w:val="008D7D5E"/>
    <w:rsid w:val="008E00DD"/>
    <w:rsid w:val="008E2593"/>
    <w:rsid w:val="008E2C18"/>
    <w:rsid w:val="008E36B5"/>
    <w:rsid w:val="008E3BC1"/>
    <w:rsid w:val="008E3E28"/>
    <w:rsid w:val="008E7CEE"/>
    <w:rsid w:val="008F38D6"/>
    <w:rsid w:val="008F492B"/>
    <w:rsid w:val="008F59F3"/>
    <w:rsid w:val="00900313"/>
    <w:rsid w:val="00900ECA"/>
    <w:rsid w:val="00902028"/>
    <w:rsid w:val="00902D4A"/>
    <w:rsid w:val="0090424D"/>
    <w:rsid w:val="00905752"/>
    <w:rsid w:val="0090646D"/>
    <w:rsid w:val="00906E9D"/>
    <w:rsid w:val="0091518C"/>
    <w:rsid w:val="009151C0"/>
    <w:rsid w:val="00915419"/>
    <w:rsid w:val="0091570C"/>
    <w:rsid w:val="00916B0C"/>
    <w:rsid w:val="00923AD0"/>
    <w:rsid w:val="00923E23"/>
    <w:rsid w:val="009241D9"/>
    <w:rsid w:val="00924AEE"/>
    <w:rsid w:val="00925014"/>
    <w:rsid w:val="0092571A"/>
    <w:rsid w:val="0092589D"/>
    <w:rsid w:val="00926C8E"/>
    <w:rsid w:val="00931D46"/>
    <w:rsid w:val="00932F8A"/>
    <w:rsid w:val="0093338B"/>
    <w:rsid w:val="009344D1"/>
    <w:rsid w:val="0093508A"/>
    <w:rsid w:val="00940EB2"/>
    <w:rsid w:val="00946368"/>
    <w:rsid w:val="00952962"/>
    <w:rsid w:val="0095316D"/>
    <w:rsid w:val="009532F9"/>
    <w:rsid w:val="009543BD"/>
    <w:rsid w:val="00954804"/>
    <w:rsid w:val="00960B2D"/>
    <w:rsid w:val="00964F4B"/>
    <w:rsid w:val="0096757B"/>
    <w:rsid w:val="00974784"/>
    <w:rsid w:val="00976A91"/>
    <w:rsid w:val="009836AA"/>
    <w:rsid w:val="0098430D"/>
    <w:rsid w:val="00984590"/>
    <w:rsid w:val="00984AB4"/>
    <w:rsid w:val="00992DBB"/>
    <w:rsid w:val="00993A17"/>
    <w:rsid w:val="009958D0"/>
    <w:rsid w:val="00996BC7"/>
    <w:rsid w:val="00997E4B"/>
    <w:rsid w:val="009A36FF"/>
    <w:rsid w:val="009A530E"/>
    <w:rsid w:val="009A53CB"/>
    <w:rsid w:val="009A648E"/>
    <w:rsid w:val="009B238B"/>
    <w:rsid w:val="009B23DF"/>
    <w:rsid w:val="009B2646"/>
    <w:rsid w:val="009B7235"/>
    <w:rsid w:val="009C3BB7"/>
    <w:rsid w:val="009C5C8C"/>
    <w:rsid w:val="009C71D7"/>
    <w:rsid w:val="009D224E"/>
    <w:rsid w:val="009D2377"/>
    <w:rsid w:val="009D6264"/>
    <w:rsid w:val="009D6F5E"/>
    <w:rsid w:val="009D7D50"/>
    <w:rsid w:val="009E4476"/>
    <w:rsid w:val="009E58D6"/>
    <w:rsid w:val="009E5D4A"/>
    <w:rsid w:val="009E670E"/>
    <w:rsid w:val="009E6E57"/>
    <w:rsid w:val="009E7420"/>
    <w:rsid w:val="009F342A"/>
    <w:rsid w:val="009F48CD"/>
    <w:rsid w:val="009F63FA"/>
    <w:rsid w:val="00A00956"/>
    <w:rsid w:val="00A0136D"/>
    <w:rsid w:val="00A10803"/>
    <w:rsid w:val="00A1299C"/>
    <w:rsid w:val="00A1504E"/>
    <w:rsid w:val="00A162B5"/>
    <w:rsid w:val="00A2228D"/>
    <w:rsid w:val="00A222C9"/>
    <w:rsid w:val="00A250E4"/>
    <w:rsid w:val="00A26EB2"/>
    <w:rsid w:val="00A305CB"/>
    <w:rsid w:val="00A307AD"/>
    <w:rsid w:val="00A37900"/>
    <w:rsid w:val="00A47F1E"/>
    <w:rsid w:val="00A54C99"/>
    <w:rsid w:val="00A55782"/>
    <w:rsid w:val="00A615F4"/>
    <w:rsid w:val="00A638DE"/>
    <w:rsid w:val="00A656C3"/>
    <w:rsid w:val="00A6684C"/>
    <w:rsid w:val="00A669D6"/>
    <w:rsid w:val="00A6702E"/>
    <w:rsid w:val="00A716D9"/>
    <w:rsid w:val="00A7343A"/>
    <w:rsid w:val="00A754D2"/>
    <w:rsid w:val="00A778C9"/>
    <w:rsid w:val="00A8280D"/>
    <w:rsid w:val="00A833A4"/>
    <w:rsid w:val="00A84154"/>
    <w:rsid w:val="00A85355"/>
    <w:rsid w:val="00A85398"/>
    <w:rsid w:val="00A8539E"/>
    <w:rsid w:val="00A92F53"/>
    <w:rsid w:val="00A93495"/>
    <w:rsid w:val="00A9365E"/>
    <w:rsid w:val="00A93EC7"/>
    <w:rsid w:val="00AA059F"/>
    <w:rsid w:val="00AA1321"/>
    <w:rsid w:val="00AA15A4"/>
    <w:rsid w:val="00AA1A9F"/>
    <w:rsid w:val="00AA4C8B"/>
    <w:rsid w:val="00AA6448"/>
    <w:rsid w:val="00AA7106"/>
    <w:rsid w:val="00AA7447"/>
    <w:rsid w:val="00AB14C9"/>
    <w:rsid w:val="00AC020F"/>
    <w:rsid w:val="00AC09A4"/>
    <w:rsid w:val="00AC38B1"/>
    <w:rsid w:val="00AC769E"/>
    <w:rsid w:val="00AD05AF"/>
    <w:rsid w:val="00AD2233"/>
    <w:rsid w:val="00AD778A"/>
    <w:rsid w:val="00AE0440"/>
    <w:rsid w:val="00AE2400"/>
    <w:rsid w:val="00AE4039"/>
    <w:rsid w:val="00AE450B"/>
    <w:rsid w:val="00AE4789"/>
    <w:rsid w:val="00AE5883"/>
    <w:rsid w:val="00AE59E4"/>
    <w:rsid w:val="00AE788E"/>
    <w:rsid w:val="00AF0CD2"/>
    <w:rsid w:val="00AF2245"/>
    <w:rsid w:val="00AF36A1"/>
    <w:rsid w:val="00AF4EE2"/>
    <w:rsid w:val="00AF5B40"/>
    <w:rsid w:val="00B04554"/>
    <w:rsid w:val="00B05179"/>
    <w:rsid w:val="00B074F0"/>
    <w:rsid w:val="00B079F4"/>
    <w:rsid w:val="00B1099E"/>
    <w:rsid w:val="00B10F56"/>
    <w:rsid w:val="00B11081"/>
    <w:rsid w:val="00B12704"/>
    <w:rsid w:val="00B1367C"/>
    <w:rsid w:val="00B1426F"/>
    <w:rsid w:val="00B14621"/>
    <w:rsid w:val="00B152F4"/>
    <w:rsid w:val="00B17E7F"/>
    <w:rsid w:val="00B21538"/>
    <w:rsid w:val="00B23F2F"/>
    <w:rsid w:val="00B26494"/>
    <w:rsid w:val="00B27C2F"/>
    <w:rsid w:val="00B27D97"/>
    <w:rsid w:val="00B31341"/>
    <w:rsid w:val="00B33DF3"/>
    <w:rsid w:val="00B34570"/>
    <w:rsid w:val="00B354B5"/>
    <w:rsid w:val="00B403AD"/>
    <w:rsid w:val="00B42034"/>
    <w:rsid w:val="00B44BA2"/>
    <w:rsid w:val="00B4525C"/>
    <w:rsid w:val="00B45A29"/>
    <w:rsid w:val="00B50A31"/>
    <w:rsid w:val="00B56355"/>
    <w:rsid w:val="00B56FE6"/>
    <w:rsid w:val="00B60100"/>
    <w:rsid w:val="00B60F41"/>
    <w:rsid w:val="00B74965"/>
    <w:rsid w:val="00B75109"/>
    <w:rsid w:val="00B80011"/>
    <w:rsid w:val="00B82F41"/>
    <w:rsid w:val="00B84788"/>
    <w:rsid w:val="00B84B47"/>
    <w:rsid w:val="00B871A0"/>
    <w:rsid w:val="00B919B8"/>
    <w:rsid w:val="00B921F5"/>
    <w:rsid w:val="00B9392C"/>
    <w:rsid w:val="00B941F8"/>
    <w:rsid w:val="00B94C71"/>
    <w:rsid w:val="00BA05EE"/>
    <w:rsid w:val="00BA0738"/>
    <w:rsid w:val="00BA705C"/>
    <w:rsid w:val="00BA7EBA"/>
    <w:rsid w:val="00BB0040"/>
    <w:rsid w:val="00BB0435"/>
    <w:rsid w:val="00BB1127"/>
    <w:rsid w:val="00BB2483"/>
    <w:rsid w:val="00BB3298"/>
    <w:rsid w:val="00BB3FB8"/>
    <w:rsid w:val="00BB4861"/>
    <w:rsid w:val="00BC10AE"/>
    <w:rsid w:val="00BC1706"/>
    <w:rsid w:val="00BC28C2"/>
    <w:rsid w:val="00BC7711"/>
    <w:rsid w:val="00BD06B1"/>
    <w:rsid w:val="00BD0AD5"/>
    <w:rsid w:val="00BD3F5B"/>
    <w:rsid w:val="00BD77DB"/>
    <w:rsid w:val="00BE04B9"/>
    <w:rsid w:val="00BE2F01"/>
    <w:rsid w:val="00BE32D3"/>
    <w:rsid w:val="00BE3F71"/>
    <w:rsid w:val="00BE713D"/>
    <w:rsid w:val="00BF153E"/>
    <w:rsid w:val="00BF32CD"/>
    <w:rsid w:val="00BF3D50"/>
    <w:rsid w:val="00BF4D55"/>
    <w:rsid w:val="00C010BF"/>
    <w:rsid w:val="00C01B3D"/>
    <w:rsid w:val="00C07D7A"/>
    <w:rsid w:val="00C13638"/>
    <w:rsid w:val="00C138D4"/>
    <w:rsid w:val="00C14DDC"/>
    <w:rsid w:val="00C15847"/>
    <w:rsid w:val="00C16A24"/>
    <w:rsid w:val="00C1704B"/>
    <w:rsid w:val="00C20B21"/>
    <w:rsid w:val="00C23785"/>
    <w:rsid w:val="00C26CF4"/>
    <w:rsid w:val="00C327DB"/>
    <w:rsid w:val="00C335E4"/>
    <w:rsid w:val="00C35721"/>
    <w:rsid w:val="00C36021"/>
    <w:rsid w:val="00C40A86"/>
    <w:rsid w:val="00C462B4"/>
    <w:rsid w:val="00C466E0"/>
    <w:rsid w:val="00C46D9E"/>
    <w:rsid w:val="00C47711"/>
    <w:rsid w:val="00C50F39"/>
    <w:rsid w:val="00C5111D"/>
    <w:rsid w:val="00C52E7A"/>
    <w:rsid w:val="00C56667"/>
    <w:rsid w:val="00C56D28"/>
    <w:rsid w:val="00C60B92"/>
    <w:rsid w:val="00C65800"/>
    <w:rsid w:val="00C67CD7"/>
    <w:rsid w:val="00C72065"/>
    <w:rsid w:val="00C754C2"/>
    <w:rsid w:val="00C75B63"/>
    <w:rsid w:val="00C7778B"/>
    <w:rsid w:val="00C77E22"/>
    <w:rsid w:val="00C8019A"/>
    <w:rsid w:val="00C811DD"/>
    <w:rsid w:val="00C82353"/>
    <w:rsid w:val="00C857BF"/>
    <w:rsid w:val="00C86E2A"/>
    <w:rsid w:val="00C875E0"/>
    <w:rsid w:val="00C960A0"/>
    <w:rsid w:val="00C971F5"/>
    <w:rsid w:val="00CA00F3"/>
    <w:rsid w:val="00CA2BBB"/>
    <w:rsid w:val="00CA68B6"/>
    <w:rsid w:val="00CA7422"/>
    <w:rsid w:val="00CB089D"/>
    <w:rsid w:val="00CB2107"/>
    <w:rsid w:val="00CB3E01"/>
    <w:rsid w:val="00CB5398"/>
    <w:rsid w:val="00CC2F2D"/>
    <w:rsid w:val="00CC43C3"/>
    <w:rsid w:val="00CD3431"/>
    <w:rsid w:val="00CD42CE"/>
    <w:rsid w:val="00CD5307"/>
    <w:rsid w:val="00CD56A0"/>
    <w:rsid w:val="00CD69E3"/>
    <w:rsid w:val="00CD7D1E"/>
    <w:rsid w:val="00CE10B0"/>
    <w:rsid w:val="00CE1A4D"/>
    <w:rsid w:val="00CE44FC"/>
    <w:rsid w:val="00CE47C1"/>
    <w:rsid w:val="00CE5942"/>
    <w:rsid w:val="00CE6597"/>
    <w:rsid w:val="00CF4224"/>
    <w:rsid w:val="00CF52B1"/>
    <w:rsid w:val="00CF57E9"/>
    <w:rsid w:val="00D063C7"/>
    <w:rsid w:val="00D079C2"/>
    <w:rsid w:val="00D14638"/>
    <w:rsid w:val="00D2723C"/>
    <w:rsid w:val="00D30508"/>
    <w:rsid w:val="00D31A87"/>
    <w:rsid w:val="00D32148"/>
    <w:rsid w:val="00D334B2"/>
    <w:rsid w:val="00D34C26"/>
    <w:rsid w:val="00D34D48"/>
    <w:rsid w:val="00D34FE6"/>
    <w:rsid w:val="00D41B4C"/>
    <w:rsid w:val="00D42ECC"/>
    <w:rsid w:val="00D455E7"/>
    <w:rsid w:val="00D46104"/>
    <w:rsid w:val="00D47CC4"/>
    <w:rsid w:val="00D50254"/>
    <w:rsid w:val="00D5046C"/>
    <w:rsid w:val="00D5085B"/>
    <w:rsid w:val="00D527AE"/>
    <w:rsid w:val="00D530AF"/>
    <w:rsid w:val="00D53EA1"/>
    <w:rsid w:val="00D541F7"/>
    <w:rsid w:val="00D56009"/>
    <w:rsid w:val="00D6562A"/>
    <w:rsid w:val="00D679DB"/>
    <w:rsid w:val="00D71924"/>
    <w:rsid w:val="00D72530"/>
    <w:rsid w:val="00D7552B"/>
    <w:rsid w:val="00D758F6"/>
    <w:rsid w:val="00D75FEE"/>
    <w:rsid w:val="00D76743"/>
    <w:rsid w:val="00D76754"/>
    <w:rsid w:val="00D77807"/>
    <w:rsid w:val="00D81232"/>
    <w:rsid w:val="00D82242"/>
    <w:rsid w:val="00D82DEA"/>
    <w:rsid w:val="00D85C27"/>
    <w:rsid w:val="00D91396"/>
    <w:rsid w:val="00DA2F52"/>
    <w:rsid w:val="00DA364E"/>
    <w:rsid w:val="00DA5A0B"/>
    <w:rsid w:val="00DA5EAC"/>
    <w:rsid w:val="00DA6E8C"/>
    <w:rsid w:val="00DB49A0"/>
    <w:rsid w:val="00DB4DA6"/>
    <w:rsid w:val="00DB59C0"/>
    <w:rsid w:val="00DB6685"/>
    <w:rsid w:val="00DC29F7"/>
    <w:rsid w:val="00DC31E3"/>
    <w:rsid w:val="00DC6D19"/>
    <w:rsid w:val="00DD6B2A"/>
    <w:rsid w:val="00DE1366"/>
    <w:rsid w:val="00DE3654"/>
    <w:rsid w:val="00DE3D05"/>
    <w:rsid w:val="00DE6593"/>
    <w:rsid w:val="00DE72F3"/>
    <w:rsid w:val="00DF6EE0"/>
    <w:rsid w:val="00E002DC"/>
    <w:rsid w:val="00E00D5A"/>
    <w:rsid w:val="00E02187"/>
    <w:rsid w:val="00E0453A"/>
    <w:rsid w:val="00E059C6"/>
    <w:rsid w:val="00E102FA"/>
    <w:rsid w:val="00E1214E"/>
    <w:rsid w:val="00E12CDD"/>
    <w:rsid w:val="00E1748D"/>
    <w:rsid w:val="00E212E1"/>
    <w:rsid w:val="00E21C6B"/>
    <w:rsid w:val="00E22547"/>
    <w:rsid w:val="00E23C45"/>
    <w:rsid w:val="00E25A59"/>
    <w:rsid w:val="00E25D86"/>
    <w:rsid w:val="00E31103"/>
    <w:rsid w:val="00E31244"/>
    <w:rsid w:val="00E31ADC"/>
    <w:rsid w:val="00E3378B"/>
    <w:rsid w:val="00E339EB"/>
    <w:rsid w:val="00E33D92"/>
    <w:rsid w:val="00E36FE8"/>
    <w:rsid w:val="00E37D7D"/>
    <w:rsid w:val="00E428FE"/>
    <w:rsid w:val="00E5111E"/>
    <w:rsid w:val="00E52542"/>
    <w:rsid w:val="00E65079"/>
    <w:rsid w:val="00E65D36"/>
    <w:rsid w:val="00E66E7C"/>
    <w:rsid w:val="00E675E9"/>
    <w:rsid w:val="00E6771D"/>
    <w:rsid w:val="00E71967"/>
    <w:rsid w:val="00E71ED2"/>
    <w:rsid w:val="00E741C3"/>
    <w:rsid w:val="00E7497D"/>
    <w:rsid w:val="00E75166"/>
    <w:rsid w:val="00E7645C"/>
    <w:rsid w:val="00E7775A"/>
    <w:rsid w:val="00E77994"/>
    <w:rsid w:val="00E77B13"/>
    <w:rsid w:val="00E811BC"/>
    <w:rsid w:val="00E817A4"/>
    <w:rsid w:val="00E824E4"/>
    <w:rsid w:val="00E84844"/>
    <w:rsid w:val="00E84E59"/>
    <w:rsid w:val="00E85D7D"/>
    <w:rsid w:val="00E869AC"/>
    <w:rsid w:val="00E86CC5"/>
    <w:rsid w:val="00E87163"/>
    <w:rsid w:val="00E912D5"/>
    <w:rsid w:val="00E912EE"/>
    <w:rsid w:val="00E921E6"/>
    <w:rsid w:val="00E92F55"/>
    <w:rsid w:val="00E93676"/>
    <w:rsid w:val="00E93E17"/>
    <w:rsid w:val="00E94022"/>
    <w:rsid w:val="00E94F3A"/>
    <w:rsid w:val="00E95CC2"/>
    <w:rsid w:val="00EA16E0"/>
    <w:rsid w:val="00EA276C"/>
    <w:rsid w:val="00EA3E59"/>
    <w:rsid w:val="00EA5258"/>
    <w:rsid w:val="00EA7D2D"/>
    <w:rsid w:val="00EB1362"/>
    <w:rsid w:val="00EB1532"/>
    <w:rsid w:val="00EB1E3B"/>
    <w:rsid w:val="00EB3273"/>
    <w:rsid w:val="00EB3A8B"/>
    <w:rsid w:val="00EB7D34"/>
    <w:rsid w:val="00EC0056"/>
    <w:rsid w:val="00EC0E24"/>
    <w:rsid w:val="00EC2068"/>
    <w:rsid w:val="00EC37F9"/>
    <w:rsid w:val="00EC4CCD"/>
    <w:rsid w:val="00EC6123"/>
    <w:rsid w:val="00EC7B1D"/>
    <w:rsid w:val="00ED45D1"/>
    <w:rsid w:val="00ED4EBE"/>
    <w:rsid w:val="00EE103E"/>
    <w:rsid w:val="00EE534C"/>
    <w:rsid w:val="00EE59EC"/>
    <w:rsid w:val="00EE752D"/>
    <w:rsid w:val="00EE7A43"/>
    <w:rsid w:val="00EF32D8"/>
    <w:rsid w:val="00EF4615"/>
    <w:rsid w:val="00EF4846"/>
    <w:rsid w:val="00EF5701"/>
    <w:rsid w:val="00F0036D"/>
    <w:rsid w:val="00F04243"/>
    <w:rsid w:val="00F0521F"/>
    <w:rsid w:val="00F07BEE"/>
    <w:rsid w:val="00F112F6"/>
    <w:rsid w:val="00F154A9"/>
    <w:rsid w:val="00F174A2"/>
    <w:rsid w:val="00F17F01"/>
    <w:rsid w:val="00F204CB"/>
    <w:rsid w:val="00F23FDF"/>
    <w:rsid w:val="00F24BC6"/>
    <w:rsid w:val="00F26C2B"/>
    <w:rsid w:val="00F315DF"/>
    <w:rsid w:val="00F32A53"/>
    <w:rsid w:val="00F3300B"/>
    <w:rsid w:val="00F331F5"/>
    <w:rsid w:val="00F34E30"/>
    <w:rsid w:val="00F36CF5"/>
    <w:rsid w:val="00F37DF2"/>
    <w:rsid w:val="00F405BF"/>
    <w:rsid w:val="00F406FD"/>
    <w:rsid w:val="00F45D30"/>
    <w:rsid w:val="00F46E72"/>
    <w:rsid w:val="00F478A9"/>
    <w:rsid w:val="00F55648"/>
    <w:rsid w:val="00F573FC"/>
    <w:rsid w:val="00F609D3"/>
    <w:rsid w:val="00F61CA4"/>
    <w:rsid w:val="00F62506"/>
    <w:rsid w:val="00F673B2"/>
    <w:rsid w:val="00F70F08"/>
    <w:rsid w:val="00F716F4"/>
    <w:rsid w:val="00F9488A"/>
    <w:rsid w:val="00F96FC8"/>
    <w:rsid w:val="00FA5260"/>
    <w:rsid w:val="00FA6521"/>
    <w:rsid w:val="00FB1569"/>
    <w:rsid w:val="00FB186D"/>
    <w:rsid w:val="00FB2C9F"/>
    <w:rsid w:val="00FB47AE"/>
    <w:rsid w:val="00FB4839"/>
    <w:rsid w:val="00FC1153"/>
    <w:rsid w:val="00FC32DA"/>
    <w:rsid w:val="00FC466B"/>
    <w:rsid w:val="00FC62DA"/>
    <w:rsid w:val="00FC6DFB"/>
    <w:rsid w:val="00FD19CC"/>
    <w:rsid w:val="00FD2181"/>
    <w:rsid w:val="00FD3117"/>
    <w:rsid w:val="00FD45B4"/>
    <w:rsid w:val="00FD76F9"/>
    <w:rsid w:val="00FE3F53"/>
    <w:rsid w:val="00FE45F9"/>
    <w:rsid w:val="00FE4825"/>
    <w:rsid w:val="00FE7CDD"/>
    <w:rsid w:val="00FF0A38"/>
    <w:rsid w:val="00FF6BB2"/>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C561E"/>
  <w15:chartTrackingRefBased/>
  <w15:docId w15:val="{204B74A3-726A-4BAC-B925-9AEF53FF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autoRedefine/>
    <w:qFormat/>
    <w:rsid w:val="00BB0040"/>
    <w:pPr>
      <w:keepNext/>
      <w:outlineLvl w:val="0"/>
    </w:pPr>
    <w:rPr>
      <w:rFonts w:ascii="Times New Roman Bold" w:hAnsi="Times New Roman Bold"/>
      <w:b/>
      <w:caps/>
      <w:sz w:val="22"/>
      <w:szCs w:val="22"/>
    </w:rPr>
  </w:style>
  <w:style w:type="paragraph" w:styleId="Heading2">
    <w:name w:val="heading 2"/>
    <w:basedOn w:val="Normal"/>
    <w:next w:val="Normal"/>
    <w:qFormat/>
    <w:pPr>
      <w:keepNext/>
      <w:outlineLvl w:val="1"/>
    </w:pPr>
    <w:rPr>
      <w:rFonts w:ascii="CG Times" w:hAnsi="CG Times"/>
      <w:b/>
      <w:sz w:val="20"/>
    </w:rPr>
  </w:style>
  <w:style w:type="paragraph" w:styleId="Heading3">
    <w:name w:val="heading 3"/>
    <w:basedOn w:val="Normal"/>
    <w:next w:val="Normal"/>
    <w:qFormat/>
    <w:pPr>
      <w:keepNext/>
      <w:jc w:val="both"/>
      <w:outlineLvl w:val="2"/>
    </w:pPr>
    <w:rPr>
      <w:rFonts w:ascii="CG Times" w:hAnsi="CG Times"/>
      <w:b/>
      <w:sz w:val="20"/>
    </w:rPr>
  </w:style>
  <w:style w:type="paragraph" w:styleId="Heading4">
    <w:name w:val="heading 4"/>
    <w:basedOn w:val="Normal"/>
    <w:next w:val="Normal"/>
    <w:qFormat/>
    <w:pPr>
      <w:keepNext/>
      <w:jc w:val="center"/>
      <w:outlineLvl w:val="3"/>
    </w:pPr>
    <w:rPr>
      <w:rFonts w:ascii="CG Times" w:hAnsi="CG Times"/>
      <w:b/>
      <w:sz w:val="20"/>
    </w:rPr>
  </w:style>
  <w:style w:type="paragraph" w:styleId="Heading5">
    <w:name w:val="heading 5"/>
    <w:basedOn w:val="Normal"/>
    <w:next w:val="Normal"/>
    <w:link w:val="Heading5Char"/>
    <w:uiPriority w:val="9"/>
    <w:qFormat/>
    <w:pPr>
      <w:keepNext/>
      <w:jc w:val="center"/>
      <w:outlineLvl w:val="4"/>
    </w:pPr>
    <w:rPr>
      <w:rFonts w:ascii="CG Times" w:hAnsi="CG Times"/>
      <w:b/>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rFonts w:ascii="CG Times" w:hAnsi="CG Times"/>
      <w:b/>
      <w:sz w:val="20"/>
      <w:u w:val="single"/>
    </w:rPr>
  </w:style>
  <w:style w:type="paragraph" w:styleId="Heading8">
    <w:name w:val="heading 8"/>
    <w:basedOn w:val="Normal"/>
    <w:next w:val="Normal"/>
    <w:qFormat/>
    <w:pPr>
      <w:keepNext/>
      <w:jc w:val="right"/>
      <w:outlineLvl w:val="7"/>
    </w:pPr>
    <w:rPr>
      <w:rFonts w:ascii="CG Times" w:hAnsi="CG Times"/>
      <w:b/>
      <w:sz w:val="20"/>
    </w:rPr>
  </w:style>
  <w:style w:type="paragraph" w:styleId="Heading9">
    <w:name w:val="heading 9"/>
    <w:basedOn w:val="Normal"/>
    <w:next w:val="Normal"/>
    <w:qFormat/>
    <w:pPr>
      <w:keepNext/>
      <w:outlineLvl w:val="8"/>
    </w:pPr>
    <w:rPr>
      <w:rFonts w:ascii="CG Times" w:hAnsi="CG Time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PlainText"/>
    <w:pPr>
      <w:widowControl w:val="0"/>
    </w:pPr>
    <w:rPr>
      <w:snapToGrid w:val="0"/>
    </w:rPr>
  </w:style>
  <w:style w:type="paragraph" w:styleId="PlainText">
    <w:name w:val="Plain Text"/>
    <w:basedOn w:val="Normal"/>
    <w:rPr>
      <w:rFonts w:ascii="Courier New" w:hAnsi="Courier New"/>
    </w:rPr>
  </w:style>
  <w:style w:type="paragraph" w:styleId="Title">
    <w:name w:val="Title"/>
    <w:basedOn w:val="Normal"/>
    <w:qFormat/>
    <w:pPr>
      <w:jc w:val="center"/>
    </w:pPr>
    <w:rPr>
      <w:rFonts w:ascii="CG Times" w:hAnsi="CG Times"/>
      <w:b/>
      <w:sz w:val="20"/>
    </w:rPr>
  </w:style>
  <w:style w:type="paragraph" w:styleId="Subtitle">
    <w:name w:val="Subtitle"/>
    <w:basedOn w:val="Normal"/>
    <w:qFormat/>
    <w:rPr>
      <w:rFonts w:ascii="CG Times" w:hAnsi="CG Times"/>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aliases w:val="b"/>
    <w:basedOn w:val="Normal"/>
    <w:link w:val="BodyTextChar"/>
    <w:rPr>
      <w:rFonts w:ascii="CG Times" w:hAnsi="CG Times"/>
      <w:sz w:val="20"/>
    </w:rPr>
  </w:style>
  <w:style w:type="paragraph" w:styleId="BodyText2">
    <w:name w:val="Body Text 2"/>
    <w:basedOn w:val="Normal"/>
    <w:pPr>
      <w:jc w:val="both"/>
    </w:pPr>
    <w:rPr>
      <w:rFonts w:ascii="CG Times" w:hAnsi="CG Times"/>
      <w:sz w:val="20"/>
    </w:rPr>
  </w:style>
  <w:style w:type="paragraph" w:styleId="BodyText3">
    <w:name w:val="Body Text 3"/>
    <w:basedOn w:val="Normal"/>
    <w:rPr>
      <w:rFonts w:ascii="CG Times" w:hAnsi="CG Times"/>
      <w:b/>
      <w:sz w:val="20"/>
    </w:rPr>
  </w:style>
  <w:style w:type="paragraph" w:styleId="BodyTextIndent">
    <w:name w:val="Body Text Indent"/>
    <w:basedOn w:val="Normal"/>
    <w:pPr>
      <w:ind w:left="360"/>
    </w:pPr>
    <w:rPr>
      <w:rFonts w:ascii="CG Times" w:hAnsi="CG Times"/>
    </w:rPr>
  </w:style>
  <w:style w:type="character" w:styleId="LineNumber">
    <w:name w:val="line number"/>
    <w:basedOn w:val="DefaultParagraphFont"/>
  </w:style>
  <w:style w:type="paragraph" w:styleId="TOC1">
    <w:name w:val="toc 1"/>
    <w:basedOn w:val="Normal"/>
    <w:next w:val="Normal"/>
    <w:autoRedefine/>
    <w:uiPriority w:val="39"/>
    <w:rsid w:val="001560C0"/>
    <w:pPr>
      <w:tabs>
        <w:tab w:val="right" w:leader="dot" w:pos="9900"/>
      </w:tabs>
      <w:spacing w:before="120" w:after="120"/>
    </w:pPr>
    <w:rPr>
      <w:b/>
      <w:caps/>
      <w:noProof/>
      <w:sz w:val="20"/>
      <w:szCs w:val="24"/>
    </w:rPr>
  </w:style>
  <w:style w:type="paragraph" w:styleId="TOC2">
    <w:name w:val="toc 2"/>
    <w:basedOn w:val="Normal"/>
    <w:next w:val="Normal"/>
    <w:autoRedefine/>
    <w:uiPriority w:val="39"/>
    <w:rsid w:val="001560C0"/>
    <w:pPr>
      <w:tabs>
        <w:tab w:val="right" w:leader="dot" w:pos="9926"/>
      </w:tabs>
      <w:ind w:left="240"/>
    </w:pPr>
    <w:rPr>
      <w:smallCaps/>
      <w:sz w:val="20"/>
    </w:rPr>
  </w:style>
  <w:style w:type="paragraph" w:styleId="TOC3">
    <w:name w:val="toc 3"/>
    <w:basedOn w:val="Normal"/>
    <w:next w:val="Normal"/>
    <w:autoRedefine/>
    <w:uiPriority w:val="39"/>
    <w:rsid w:val="00C327DB"/>
    <w:pPr>
      <w:tabs>
        <w:tab w:val="right" w:leader="dot" w:pos="9926"/>
      </w:tabs>
      <w:ind w:left="480" w:hanging="210"/>
    </w:pPr>
    <w:rPr>
      <w:noProof/>
      <w:color w:val="000000"/>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BodyTextIndent3">
    <w:name w:val="Body Text Indent 3"/>
    <w:basedOn w:val="Normal"/>
    <w:pPr>
      <w:ind w:left="1080" w:hanging="360"/>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rPr>
  </w:style>
  <w:style w:type="paragraph" w:customStyle="1" w:styleId="1AutoList4">
    <w:name w:val="1AutoList4"/>
    <w:pPr>
      <w:widowControl w:val="0"/>
      <w:tabs>
        <w:tab w:val="left" w:pos="720"/>
      </w:tabs>
      <w:ind w:left="720" w:hanging="720"/>
      <w:jc w:val="both"/>
    </w:pPr>
    <w:rPr>
      <w:snapToGrid w:val="0"/>
      <w:sz w:val="24"/>
    </w:rPr>
  </w:style>
  <w:style w:type="paragraph" w:styleId="FootnoteText">
    <w:name w:val="footnote text"/>
    <w:basedOn w:val="Normal"/>
    <w:semiHidden/>
    <w:rPr>
      <w:rFonts w:ascii="Tms Rmn" w:hAnsi="Tms Rmn"/>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720"/>
    </w:pPr>
    <w:rPr>
      <w:sz w:val="20"/>
    </w:rPr>
  </w:style>
  <w:style w:type="paragraph" w:customStyle="1" w:styleId="lineafterparagraph">
    <w:name w:val="line after paragraph"/>
    <w:basedOn w:val="Normal"/>
    <w:pPr>
      <w:spacing w:after="120"/>
      <w:jc w:val="both"/>
    </w:pPr>
    <w:rPr>
      <w:sz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ListNumber2">
    <w:name w:val="List Number 2"/>
    <w:basedOn w:val="Normal"/>
    <w:pPr>
      <w:numPr>
        <w:numId w:val="7"/>
      </w:numPr>
    </w:pPr>
    <w:rPr>
      <w:rFonts w:ascii="Courier" w:hAnsi="Courier"/>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semiHidden/>
    <w:rsid w:val="00626DBD"/>
    <w:rPr>
      <w:b/>
      <w:bCs/>
    </w:rPr>
  </w:style>
  <w:style w:type="paragraph" w:customStyle="1" w:styleId="StyleHeading2TimesNewRomanJustified">
    <w:name w:val="Style Heading 2 + Times New Roman Justified"/>
    <w:basedOn w:val="Heading2"/>
    <w:rsid w:val="00CB2107"/>
    <w:pPr>
      <w:jc w:val="both"/>
    </w:pPr>
    <w:rPr>
      <w:rFonts w:ascii="Times New Roman" w:hAnsi="Times New Roman"/>
      <w:bCs/>
      <w:sz w:val="24"/>
    </w:rPr>
  </w:style>
  <w:style w:type="character" w:styleId="Hyperlink">
    <w:name w:val="Hyperlink"/>
    <w:rsid w:val="00A00956"/>
    <w:rPr>
      <w:color w:val="0000FF"/>
      <w:u w:val="single"/>
    </w:rPr>
  </w:style>
  <w:style w:type="paragraph" w:customStyle="1" w:styleId="StyleHeading112pt">
    <w:name w:val="Style Heading 1 + 12 pt"/>
    <w:basedOn w:val="Heading1"/>
    <w:next w:val="StyleHeading2TimesNewRomanJustified"/>
    <w:rsid w:val="00894BA8"/>
    <w:rPr>
      <w:bCs/>
    </w:rPr>
  </w:style>
  <w:style w:type="paragraph" w:customStyle="1" w:styleId="StyleStyleHeading2TimesNewRomanJustified14ptSmallca">
    <w:name w:val="Style Style Heading 2 + Times New Roman Justified + 14 pt Small ca..."/>
    <w:basedOn w:val="StyleHeading2TimesNewRomanJustified"/>
    <w:autoRedefine/>
    <w:rsid w:val="001641D5"/>
    <w:pPr>
      <w:jc w:val="left"/>
    </w:pPr>
    <w:rPr>
      <w:rFonts w:ascii="Times New Roman Bold" w:hAnsi="Times New Roman Bold"/>
      <w:caps/>
      <w:smallCaps/>
      <w:sz w:val="22"/>
      <w:szCs w:val="22"/>
    </w:rPr>
  </w:style>
  <w:style w:type="paragraph" w:customStyle="1" w:styleId="StyleHeading1TNR14">
    <w:name w:val="Style Heading 1 TNR 14"/>
    <w:basedOn w:val="StyleHeading112pt"/>
    <w:rsid w:val="00567FC8"/>
    <w:rPr>
      <w:sz w:val="28"/>
      <w:szCs w:val="28"/>
    </w:rPr>
  </w:style>
  <w:style w:type="paragraph" w:customStyle="1" w:styleId="StyleStyleHeading112pt14pt">
    <w:name w:val="Style Style Heading 1 + 12 pt + 14 pt"/>
    <w:basedOn w:val="StyleHeading1TNR14"/>
    <w:rsid w:val="00567FC8"/>
  </w:style>
  <w:style w:type="character" w:styleId="FollowedHyperlink">
    <w:name w:val="FollowedHyperlink"/>
    <w:rsid w:val="000055C4"/>
    <w:rPr>
      <w:color w:val="FF8040"/>
      <w:u w:val="single"/>
    </w:rPr>
  </w:style>
  <w:style w:type="paragraph" w:customStyle="1" w:styleId="default">
    <w:name w:val="default"/>
    <w:basedOn w:val="Normal"/>
    <w:rsid w:val="00DE6593"/>
    <w:rPr>
      <w:rFonts w:eastAsia="Calibri"/>
      <w:szCs w:val="24"/>
    </w:rPr>
  </w:style>
  <w:style w:type="paragraph" w:customStyle="1" w:styleId="Default0">
    <w:name w:val="Default"/>
    <w:rsid w:val="003129A5"/>
    <w:pPr>
      <w:autoSpaceDE w:val="0"/>
      <w:autoSpaceDN w:val="0"/>
      <w:adjustRightInd w:val="0"/>
    </w:pPr>
    <w:rPr>
      <w:rFonts w:ascii="Arial" w:hAnsi="Arial" w:cs="Arial"/>
      <w:color w:val="000000"/>
      <w:sz w:val="24"/>
      <w:szCs w:val="24"/>
    </w:rPr>
  </w:style>
  <w:style w:type="character" w:customStyle="1" w:styleId="BodyTextChar">
    <w:name w:val="Body Text Char"/>
    <w:aliases w:val="b Char"/>
    <w:link w:val="BodyText"/>
    <w:locked/>
    <w:rsid w:val="003129A5"/>
    <w:rPr>
      <w:rFonts w:ascii="CG Times" w:hAnsi="CG Times"/>
    </w:rPr>
  </w:style>
  <w:style w:type="character" w:customStyle="1" w:styleId="CommentTextChar">
    <w:name w:val="Comment Text Char"/>
    <w:basedOn w:val="DefaultParagraphFont"/>
    <w:link w:val="CommentText"/>
    <w:semiHidden/>
    <w:rsid w:val="001D2AE7"/>
  </w:style>
  <w:style w:type="character" w:customStyle="1" w:styleId="BalloonTextChar">
    <w:name w:val="Balloon Text Char"/>
    <w:link w:val="BalloonText"/>
    <w:semiHidden/>
    <w:rsid w:val="004C6BE6"/>
    <w:rPr>
      <w:rFonts w:ascii="Tahoma" w:hAnsi="Tahoma" w:cs="Tahoma"/>
      <w:sz w:val="16"/>
      <w:szCs w:val="16"/>
    </w:rPr>
  </w:style>
  <w:style w:type="character" w:customStyle="1" w:styleId="Heading5Char">
    <w:name w:val="Heading 5 Char"/>
    <w:link w:val="Heading5"/>
    <w:uiPriority w:val="9"/>
    <w:rsid w:val="004C6BE6"/>
    <w:rPr>
      <w:rFonts w:ascii="CG Times" w:hAnsi="CG Times"/>
      <w:b/>
      <w:sz w:val="28"/>
    </w:rPr>
  </w:style>
  <w:style w:type="paragraph" w:styleId="Revision">
    <w:name w:val="Revision"/>
    <w:hidden/>
    <w:uiPriority w:val="99"/>
    <w:semiHidden/>
    <w:rsid w:val="000955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83D3-1882-4E7A-AC37-42C856CBA858}">
  <ds:schemaRefs>
    <ds:schemaRef ds:uri="http://schemas.openxmlformats.org/officeDocument/2006/bibliography"/>
  </ds:schemaRefs>
</ds:datastoreItem>
</file>

<file path=customXml/itemProps2.xml><?xml version="1.0" encoding="utf-8"?>
<ds:datastoreItem xmlns:ds="http://schemas.openxmlformats.org/officeDocument/2006/customXml" ds:itemID="{0D4EEA2D-8726-4DD0-8240-2B25CE8E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4108</Words>
  <Characters>24575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STANDARDS COMMITTEE MANUAL OF PROCEDURES</vt:lpstr>
    </vt:vector>
  </TitlesOfParts>
  <Company>ASHRAE</Company>
  <LinksUpToDate>false</LinksUpToDate>
  <CharactersWithSpaces>28626</CharactersWithSpaces>
  <SharedDoc>false</SharedDoc>
  <HLinks>
    <vt:vector size="6" baseType="variant">
      <vt:variant>
        <vt:i4>6488165</vt:i4>
      </vt:variant>
      <vt:variant>
        <vt:i4>0</vt:i4>
      </vt:variant>
      <vt:variant>
        <vt:i4>0</vt:i4>
      </vt:variant>
      <vt:variant>
        <vt:i4>5</vt:i4>
      </vt:variant>
      <vt:variant>
        <vt:lpwstr/>
      </vt:variant>
      <vt:variant>
        <vt:lpwstr>changes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COMMITTEE MANUAL OF PROCEDURES</dc:title>
  <dc:subject/>
  <dc:creator>kseay</dc:creator>
  <cp:keywords/>
  <cp:lastModifiedBy>Meyers-Lisle, Tanisha</cp:lastModifiedBy>
  <cp:revision>9</cp:revision>
  <cp:lastPrinted>2011-01-14T15:48:00Z</cp:lastPrinted>
  <dcterms:created xsi:type="dcterms:W3CDTF">2023-02-01T15:02:00Z</dcterms:created>
  <dcterms:modified xsi:type="dcterms:W3CDTF">2023-06-06T20:58:00Z</dcterms:modified>
</cp:coreProperties>
</file>