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AAB1" w14:textId="77777777" w:rsidR="00A35BBF" w:rsidRPr="00A35BBF" w:rsidRDefault="00A35BBF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E11623" w14:paraId="15585282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ECC0E96" w14:textId="77777777" w:rsidR="00E11623" w:rsidRDefault="00E11623">
            <w:pPr>
              <w:pStyle w:val="Heading3"/>
            </w:pPr>
            <w:r>
              <w:t>ASHRAE Technical FAQ</w:t>
            </w:r>
          </w:p>
        </w:tc>
      </w:tr>
      <w:tr w:rsidR="00E11623" w14:paraId="3A4696D7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E11623" w14:paraId="61B44161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861F9AC" w14:textId="77777777" w:rsidR="00E11623" w:rsidRDefault="00EB3F13">
                  <w:r>
                    <w:pict w14:anchorId="740EFF46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E11623" w14:paraId="68521F5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B3D16DB" w14:textId="77777777" w:rsidR="00E11623" w:rsidRDefault="00E11623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1A2A99F" w14:textId="77777777" w:rsidR="00E11623" w:rsidRDefault="00284FAB">
                  <w:r>
                    <w:t>52</w:t>
                  </w:r>
                </w:p>
              </w:tc>
            </w:tr>
            <w:tr w:rsidR="00E11623" w14:paraId="73A92B3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18919A2" w14:textId="77777777" w:rsidR="00E11623" w:rsidRDefault="00EB3F13">
                  <w:r>
                    <w:pict w14:anchorId="7E640402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E11623" w14:paraId="099A736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BEB2B14" w14:textId="77777777" w:rsidR="00E11623" w:rsidRPr="00AC4391" w:rsidRDefault="00E11623">
                  <w:r w:rsidRPr="00AC4391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7E0794E" w14:textId="77777777" w:rsidR="00E11623" w:rsidRPr="00AC4391" w:rsidRDefault="00284FAB">
                  <w:r w:rsidRPr="00AC4391">
                    <w:t>How do I know if a control system is BACnet compatible?</w:t>
                  </w:r>
                </w:p>
              </w:tc>
            </w:tr>
            <w:tr w:rsidR="00E11623" w14:paraId="126AAF6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54A6754" w14:textId="77777777" w:rsidR="00E11623" w:rsidRPr="00AC4391" w:rsidRDefault="00EB3F13">
                  <w:r>
                    <w:pict w14:anchorId="5DFAAA00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E11623" w14:paraId="79F3BF0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1D6AFA6" w14:textId="77777777" w:rsidR="00E11623" w:rsidRPr="00AC4391" w:rsidRDefault="00E11623">
                  <w:r w:rsidRPr="00AC4391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9CD404E" w14:textId="2E049DDD" w:rsidR="00F91BE6" w:rsidRDefault="00F91BE6" w:rsidP="00514479">
                  <w:r>
                    <w:t>T</w:t>
                  </w:r>
                  <w:r w:rsidR="00CC1889">
                    <w:t xml:space="preserve">he </w:t>
                  </w:r>
                  <w:r>
                    <w:t xml:space="preserve">BTL Mark and </w:t>
                  </w:r>
                  <w:r w:rsidR="009064F2">
                    <w:t>a listing</w:t>
                  </w:r>
                  <w:r>
                    <w:t xml:space="preserve"> on the </w:t>
                  </w:r>
                  <w:hyperlink r:id="rId4" w:history="1">
                    <w:r w:rsidRPr="00F91BE6">
                      <w:rPr>
                        <w:rStyle w:val="Hyperlink"/>
                      </w:rPr>
                      <w:t>BACnet International</w:t>
                    </w:r>
                  </w:hyperlink>
                  <w:r>
                    <w:t xml:space="preserve"> website are the only indications that a device is BACnet compatible. </w:t>
                  </w:r>
                </w:p>
                <w:p w14:paraId="53A71D96" w14:textId="77777777" w:rsidR="00F91BE6" w:rsidRDefault="00F91BE6" w:rsidP="00514479"/>
                <w:p w14:paraId="1CB66B86" w14:textId="55EC804B" w:rsidR="00CC1889" w:rsidRDefault="00CC1889" w:rsidP="00514479">
                  <w:r>
                    <w:t>A v</w:t>
                  </w:r>
                  <w:r w:rsidR="00582180">
                    <w:t xml:space="preserve">endor can claim </w:t>
                  </w:r>
                  <w:r>
                    <w:t>a device is BACnet compatible but</w:t>
                  </w:r>
                  <w:r w:rsidR="00582180">
                    <w:t xml:space="preserve"> to be </w:t>
                  </w:r>
                  <w:r w:rsidR="00363380">
                    <w:t xml:space="preserve">considered </w:t>
                  </w:r>
                  <w:r w:rsidR="00582180">
                    <w:t>truly conformant to the standard</w:t>
                  </w:r>
                  <w:r>
                    <w:t>,</w:t>
                  </w:r>
                  <w:r w:rsidR="00582180">
                    <w:t xml:space="preserve"> third-party testing is required. </w:t>
                  </w:r>
                  <w:r w:rsidR="00363380">
                    <w:t>When a device has</w:t>
                  </w:r>
                  <w:r w:rsidR="009316B0">
                    <w:t xml:space="preserve"> successfully </w:t>
                  </w:r>
                  <w:r w:rsidR="00363380">
                    <w:t xml:space="preserve">completed </w:t>
                  </w:r>
                  <w:r w:rsidR="009316B0">
                    <w:t>test</w:t>
                  </w:r>
                  <w:r w:rsidR="00363380">
                    <w:t>ed</w:t>
                  </w:r>
                  <w:r w:rsidR="009316B0">
                    <w:t xml:space="preserve"> via application of BACnet tests by a Recognized BACnet Testing Organization, the device is BTL Certified</w:t>
                  </w:r>
                  <w:r w:rsidR="00363380">
                    <w:t xml:space="preserve"> and will be listed as a BTL Certified device</w:t>
                  </w:r>
                  <w:r>
                    <w:t xml:space="preserve">. </w:t>
                  </w:r>
                  <w:r w:rsidR="009316B0">
                    <w:t>Recognized BACnet Testing Organization</w:t>
                  </w:r>
                  <w:r w:rsidR="00363380">
                    <w:t>s</w:t>
                  </w:r>
                  <w:r w:rsidR="009316B0">
                    <w:t xml:space="preserve"> appl</w:t>
                  </w:r>
                  <w:r w:rsidR="00363380">
                    <w:t xml:space="preserve">y </w:t>
                  </w:r>
                  <w:r w:rsidR="009316B0">
                    <w:t>test</w:t>
                  </w:r>
                  <w:r w:rsidR="00363380">
                    <w:t>s</w:t>
                  </w:r>
                  <w:r w:rsidR="009316B0">
                    <w:t xml:space="preserve"> </w:t>
                  </w:r>
                  <w:r w:rsidR="00363380">
                    <w:t>n</w:t>
                  </w:r>
                  <w:r w:rsidR="009316B0">
                    <w:t xml:space="preserve">ot only </w:t>
                  </w:r>
                  <w:r w:rsidR="00363380">
                    <w:t xml:space="preserve">from </w:t>
                  </w:r>
                  <w:r w:rsidR="009316B0">
                    <w:t>the ANSI/ASHRAE Standard 135.1, but also from a suite of interoperability tests developed by industry experts (</w:t>
                  </w:r>
                  <w:r w:rsidR="00140461">
                    <w:t xml:space="preserve">also known as </w:t>
                  </w:r>
                  <w:r w:rsidR="009316B0">
                    <w:t xml:space="preserve">“BTL Test Package”). </w:t>
                  </w:r>
                  <w:r>
                    <w:t xml:space="preserve">Only BTL </w:t>
                  </w:r>
                  <w:r w:rsidR="009316B0">
                    <w:t xml:space="preserve">Certified </w:t>
                  </w:r>
                  <w:r>
                    <w:t xml:space="preserve">devices are </w:t>
                  </w:r>
                  <w:r w:rsidR="009316B0">
                    <w:t xml:space="preserve">permitted </w:t>
                  </w:r>
                  <w:r>
                    <w:t>to display the BTL Mark</w:t>
                  </w:r>
                  <w:r w:rsidR="00363380">
                    <w:t xml:space="preserve"> either on the device or in documentation referencing the device.</w:t>
                  </w:r>
                </w:p>
                <w:p w14:paraId="60CD7C3C" w14:textId="77777777" w:rsidR="00CC1889" w:rsidRDefault="00CC1889" w:rsidP="00514479"/>
                <w:p w14:paraId="10FF2D3F" w14:textId="5176BBE8" w:rsidR="00C32C26" w:rsidRDefault="00123E1C" w:rsidP="00E54DC1">
                  <w:r>
                    <w:t>For more i</w:t>
                  </w:r>
                  <w:r w:rsidR="00C34239" w:rsidRPr="00AC4391">
                    <w:t xml:space="preserve">nformation about BACnet </w:t>
                  </w:r>
                  <w:r w:rsidR="00C32C26">
                    <w:t xml:space="preserve">and BACnet </w:t>
                  </w:r>
                  <w:r w:rsidR="0014271A">
                    <w:t>t</w:t>
                  </w:r>
                  <w:r w:rsidR="00C32C26">
                    <w:t>esting:</w:t>
                  </w:r>
                </w:p>
                <w:p w14:paraId="75EADDBC" w14:textId="1C06551F" w:rsidR="00C32C26" w:rsidRDefault="00EB3F13" w:rsidP="00E54DC1">
                  <w:hyperlink r:id="rId5" w:history="1">
                    <w:r w:rsidR="00C32C26" w:rsidRPr="00C32C26">
                      <w:rPr>
                        <w:rStyle w:val="Hyperlink"/>
                      </w:rPr>
                      <w:t>Latest ASHRAE Standard 135</w:t>
                    </w:r>
                  </w:hyperlink>
                </w:p>
                <w:p w14:paraId="39FC3817" w14:textId="4486D165" w:rsidR="0014271A" w:rsidRDefault="00EB3F13" w:rsidP="00E54DC1">
                  <w:hyperlink r:id="rId6" w:history="1">
                    <w:r w:rsidR="0014271A" w:rsidRPr="0014271A">
                      <w:rPr>
                        <w:rStyle w:val="Hyperlink"/>
                      </w:rPr>
                      <w:t>Latest ASHRAE Standard 135.1</w:t>
                    </w:r>
                  </w:hyperlink>
                </w:p>
                <w:p w14:paraId="6F930060" w14:textId="149C052E" w:rsidR="00C32C26" w:rsidRDefault="00EB3F13" w:rsidP="00E54DC1">
                  <w:hyperlink r:id="rId7" w:history="1">
                    <w:r w:rsidR="00C32C26" w:rsidRPr="004F600A">
                      <w:rPr>
                        <w:rStyle w:val="Hyperlink"/>
                      </w:rPr>
                      <w:t>BACnet International</w:t>
                    </w:r>
                  </w:hyperlink>
                </w:p>
                <w:p w14:paraId="690E1140" w14:textId="02A0110A" w:rsidR="00C32C26" w:rsidRDefault="00EB3F13" w:rsidP="00E54DC1">
                  <w:hyperlink r:id="rId8" w:history="1">
                    <w:r w:rsidR="00C32C26" w:rsidRPr="004F600A">
                      <w:rPr>
                        <w:rStyle w:val="Hyperlink"/>
                      </w:rPr>
                      <w:t>BIG-EU</w:t>
                    </w:r>
                  </w:hyperlink>
                </w:p>
                <w:p w14:paraId="5BD9545F" w14:textId="3B96BBDC" w:rsidR="00C32C26" w:rsidRDefault="00EB3F13" w:rsidP="00E54DC1">
                  <w:hyperlink r:id="rId9" w:history="1">
                    <w:r w:rsidR="00C32C26" w:rsidRPr="004F600A">
                      <w:rPr>
                        <w:rStyle w:val="Hyperlink"/>
                      </w:rPr>
                      <w:t>BACnet.org</w:t>
                    </w:r>
                  </w:hyperlink>
                </w:p>
                <w:p w14:paraId="3A122FDF" w14:textId="77777777" w:rsidR="00C32C26" w:rsidRDefault="00C32C26" w:rsidP="00E54DC1"/>
                <w:p w14:paraId="0C2EC978" w14:textId="52B8C9E4" w:rsidR="00E11623" w:rsidRPr="00AC4391" w:rsidRDefault="00284FAB" w:rsidP="00B95A04">
                  <w:r w:rsidRPr="00AC4391">
                    <w:t xml:space="preserve">The standard and the other publications on controls may be purchased and downloaded on-line at our website, </w:t>
                  </w:r>
                  <w:hyperlink r:id="rId10" w:history="1">
                    <w:r w:rsidR="001E20D6" w:rsidRPr="00AC4391">
                      <w:rPr>
                        <w:rStyle w:val="Hyperlink"/>
                      </w:rPr>
                      <w:t>www.ashrae.org</w:t>
                    </w:r>
                  </w:hyperlink>
                  <w:r w:rsidR="001E20D6" w:rsidRPr="00AC4391">
                    <w:t xml:space="preserve"> </w:t>
                  </w:r>
                  <w:r w:rsidRPr="00AC4391">
                    <w:t xml:space="preserve">or by calling 1-800-527-4723 in the </w:t>
                  </w:r>
                  <w:smartTag w:uri="urn:schemas-microsoft-com:office:smarttags" w:element="country-region">
                    <w:r w:rsidRPr="00AC4391">
                      <w:t>USA</w:t>
                    </w:r>
                  </w:smartTag>
                  <w:r w:rsidRPr="00AC4391"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AC4391">
                        <w:t>Canada</w:t>
                      </w:r>
                    </w:smartTag>
                  </w:smartTag>
                  <w:r w:rsidRPr="00AC4391">
                    <w:t xml:space="preserve"> or 1-404-636-8400 worldwide.</w:t>
                  </w:r>
                </w:p>
              </w:tc>
            </w:tr>
            <w:tr w:rsidR="00E11623" w14:paraId="19B49D0C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6F39555" w14:textId="77777777" w:rsidR="00E11623" w:rsidRPr="00AC4391" w:rsidRDefault="00EB3F13">
                  <w:r>
                    <w:pict w14:anchorId="7458A3C7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E11623" w14:paraId="7CC50A0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0F98D8E" w14:textId="77777777" w:rsidR="00E11623" w:rsidRPr="00AC4391" w:rsidRDefault="00E11623">
                  <w:r w:rsidRPr="00AC4391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0B86344" w14:textId="599398D0" w:rsidR="00E11623" w:rsidRPr="00AC4391" w:rsidRDefault="00EB3F13" w:rsidP="00B95A04">
                  <w:hyperlink r:id="rId11" w:history="1">
                    <w:r w:rsidR="00510B13">
                      <w:rPr>
                        <w:rStyle w:val="Hyperlink"/>
                      </w:rPr>
                      <w:t>ASHRAE Standard 135-20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B61B9E" w:rsidRPr="00AC4391">
                    <w:t xml:space="preserve"> - BACnet - A Data Communication Protocol for Building Automation and Control Network</w:t>
                  </w:r>
                  <w:r w:rsidR="00284FAB" w:rsidRPr="00AC4391">
                    <w:t>;</w:t>
                  </w:r>
                  <w:r w:rsidR="001E20D6" w:rsidRPr="00AC4391">
                    <w:t xml:space="preserve"> </w:t>
                  </w:r>
                  <w:hyperlink r:id="rId12" w:history="1">
                    <w:r w:rsidR="00C000B5" w:rsidRPr="00AC4391">
                      <w:rPr>
                        <w:rStyle w:val="Hyperlink"/>
                      </w:rPr>
                      <w:t>ASHRA</w:t>
                    </w:r>
                    <w:r w:rsidR="00C000B5" w:rsidRPr="00AC4391">
                      <w:rPr>
                        <w:rStyle w:val="Hyperlink"/>
                      </w:rPr>
                      <w:t>E Standard 135.1-20</w:t>
                    </w:r>
                    <w:r w:rsidR="00510B13"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</w:rPr>
                      <w:t>9</w:t>
                    </w:r>
                  </w:hyperlink>
                  <w:r w:rsidR="00284FAB" w:rsidRPr="00AC4391">
                    <w:t>: Method of Test for Conformance to BACnet</w:t>
                  </w:r>
                </w:p>
              </w:tc>
            </w:tr>
            <w:tr w:rsidR="00E11623" w14:paraId="49701FBB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E1DD48E" w14:textId="77777777" w:rsidR="00E11623" w:rsidRPr="00AC4391" w:rsidRDefault="00EB3F13">
                  <w:r>
                    <w:pict w14:anchorId="07900B13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E11623" w14:paraId="5CCA4F64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D7E2219" w14:textId="77777777" w:rsidR="00E11623" w:rsidRPr="00AC4391" w:rsidRDefault="00E11623">
                  <w:r w:rsidRPr="00AC4391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AEEF8C5" w14:textId="77777777" w:rsidR="00E11623" w:rsidRPr="00AC4391" w:rsidRDefault="00284FAB">
                  <w:r w:rsidRPr="00AC4391">
                    <w:t>BACnet</w:t>
                  </w:r>
                </w:p>
              </w:tc>
            </w:tr>
            <w:tr w:rsidR="00E11623" w14:paraId="42AB33EB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854A783" w14:textId="77777777" w:rsidR="00E11623" w:rsidRPr="00AC4391" w:rsidRDefault="00EB3F13">
                  <w:r>
                    <w:pict w14:anchorId="3C057C18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E11623" w:rsidRPr="00AC4391" w14:paraId="76111D63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E11623" w:rsidRPr="00AC4391" w14:paraId="685C5EEB" w14:textId="77777777" w:rsidTr="00664D68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CF3845B" w14:textId="77777777" w:rsidR="00E11623" w:rsidRPr="00AC4391" w:rsidRDefault="00E11623"/>
                    </w:tc>
                    <w:tc>
                      <w:tcPr>
                        <w:tcW w:w="3600" w:type="dxa"/>
                      </w:tcPr>
                      <w:p w14:paraId="6529638F" w14:textId="77777777" w:rsidR="00E11623" w:rsidRPr="00AC4391" w:rsidRDefault="00E11623">
                        <w:r w:rsidRPr="00AC4391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FDD503E" w14:textId="77777777" w:rsidR="00E11623" w:rsidRPr="00AC4391" w:rsidRDefault="00E11623">
                        <w:r w:rsidRPr="00AC4391">
                          <w:t>Refer to Organization</w:t>
                        </w:r>
                      </w:p>
                    </w:tc>
                  </w:tr>
                  <w:tr w:rsidR="00E11623" w:rsidRPr="00AC4391" w14:paraId="16F6A36B" w14:textId="77777777" w:rsidTr="00664D68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AB25C13" w14:textId="77777777" w:rsidR="00E11623" w:rsidRPr="00AC4391" w:rsidRDefault="00E11623">
                        <w:r w:rsidRPr="00AC4391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78324A9" w14:textId="1ACA5EE0" w:rsidR="00E11623" w:rsidRPr="00AC4391" w:rsidRDefault="00EB3F13">
                        <w:hyperlink r:id="rId13" w:history="1">
                          <w:r w:rsidR="001E20D6" w:rsidRPr="00AC4391">
                            <w:rPr>
                              <w:rStyle w:val="Hyperlink"/>
                            </w:rPr>
                            <w:t>TC 1.4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D22467B" w14:textId="77777777" w:rsidR="00E11623" w:rsidRPr="00AC4391" w:rsidRDefault="00E11623"/>
                    </w:tc>
                  </w:tr>
                  <w:tr w:rsidR="00E11623" w:rsidRPr="00AC4391" w14:paraId="2CB8B514" w14:textId="77777777" w:rsidTr="00664D68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EE80555" w14:textId="77777777" w:rsidR="00E11623" w:rsidRPr="00AC4391" w:rsidRDefault="00E11623">
                        <w:r w:rsidRPr="00AC4391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6214FF6" w14:textId="77777777" w:rsidR="00E11623" w:rsidRPr="00AC4391" w:rsidRDefault="00EB3F13">
                        <w:hyperlink r:id="rId14" w:history="1">
                          <w:r w:rsidR="00284FAB" w:rsidRPr="00AC4391">
                            <w:rPr>
                              <w:rStyle w:val="Hyperlink"/>
                            </w:rPr>
                            <w:t>SSP</w:t>
                          </w:r>
                          <w:r w:rsidR="00284FAB" w:rsidRPr="00AC4391">
                            <w:rPr>
                              <w:rStyle w:val="Hyperlink"/>
                            </w:rPr>
                            <w:t>C 135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7059882" w14:textId="77777777" w:rsidR="00E11623" w:rsidRPr="00AC4391" w:rsidRDefault="00E11623"/>
                    </w:tc>
                  </w:tr>
                  <w:tr w:rsidR="00E11623" w:rsidRPr="00AC4391" w14:paraId="7D2EDFD2" w14:textId="77777777" w:rsidTr="00664D68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50791DD" w14:textId="77777777" w:rsidR="00E11623" w:rsidRPr="00AC4391" w:rsidRDefault="00E11623">
                        <w:r w:rsidRPr="00AC4391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E739DB5" w14:textId="77777777" w:rsidR="00E11623" w:rsidRPr="00AC4391" w:rsidRDefault="00E11623"/>
                    </w:tc>
                    <w:tc>
                      <w:tcPr>
                        <w:tcW w:w="2520" w:type="dxa"/>
                      </w:tcPr>
                      <w:p w14:paraId="4475FB1A" w14:textId="77777777" w:rsidR="00E11623" w:rsidRPr="00AC4391" w:rsidRDefault="00E11623"/>
                    </w:tc>
                  </w:tr>
                  <w:tr w:rsidR="00E11623" w:rsidRPr="00AC4391" w14:paraId="6A2842F8" w14:textId="77777777" w:rsidTr="00664D68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A4D7128" w14:textId="77777777" w:rsidR="00E11623" w:rsidRPr="00AC4391" w:rsidRDefault="00E11623">
                        <w:r w:rsidRPr="00AC4391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7FAB45E" w14:textId="77777777" w:rsidR="00E11623" w:rsidRPr="00AC4391" w:rsidRDefault="00E11623"/>
                    </w:tc>
                    <w:tc>
                      <w:tcPr>
                        <w:tcW w:w="2520" w:type="dxa"/>
                      </w:tcPr>
                      <w:p w14:paraId="47E653C3" w14:textId="77777777" w:rsidR="00E11623" w:rsidRPr="00AC4391" w:rsidRDefault="00E11623"/>
                    </w:tc>
                  </w:tr>
                  <w:tr w:rsidR="00E11623" w:rsidRPr="00AC4391" w14:paraId="0D08B983" w14:textId="77777777" w:rsidTr="00664D68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59E09D9" w14:textId="77777777" w:rsidR="00E11623" w:rsidRPr="00AC4391" w:rsidRDefault="00E11623">
                        <w:r w:rsidRPr="00AC4391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EC96EF" w14:textId="77777777" w:rsidR="00E11623" w:rsidRPr="00AC4391" w:rsidRDefault="00E11623"/>
                    </w:tc>
                    <w:tc>
                      <w:tcPr>
                        <w:tcW w:w="2520" w:type="dxa"/>
                      </w:tcPr>
                      <w:p w14:paraId="21672525" w14:textId="77777777" w:rsidR="00E11623" w:rsidRPr="00AC4391" w:rsidRDefault="00E11623"/>
                    </w:tc>
                  </w:tr>
                </w:tbl>
                <w:p w14:paraId="22C18B7E" w14:textId="77777777" w:rsidR="00E11623" w:rsidRPr="00AC4391" w:rsidRDefault="00E11623"/>
              </w:tc>
            </w:tr>
            <w:tr w:rsidR="00E11623" w14:paraId="0E7F29CA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9A15D26" w14:textId="77777777" w:rsidR="00E11623" w:rsidRDefault="00E11623"/>
              </w:tc>
            </w:tr>
          </w:tbl>
          <w:p w14:paraId="3F72D997" w14:textId="77777777" w:rsidR="00E11623" w:rsidRDefault="00E11623"/>
        </w:tc>
        <w:tc>
          <w:tcPr>
            <w:tcW w:w="0" w:type="auto"/>
            <w:vAlign w:val="center"/>
          </w:tcPr>
          <w:p w14:paraId="341239F7" w14:textId="77777777" w:rsidR="00E11623" w:rsidRDefault="00E11623">
            <w:pPr>
              <w:rPr>
                <w:sz w:val="20"/>
                <w:szCs w:val="20"/>
              </w:rPr>
            </w:pPr>
          </w:p>
        </w:tc>
      </w:tr>
    </w:tbl>
    <w:p w14:paraId="41159557" w14:textId="77777777" w:rsidR="0073616E" w:rsidRPr="005E4570" w:rsidRDefault="0073616E">
      <w:pPr>
        <w:rPr>
          <w:rFonts w:ascii="Arial" w:hAnsi="Arial" w:cs="Arial"/>
        </w:rPr>
      </w:pPr>
    </w:p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55"/>
    <w:rsid w:val="000142F9"/>
    <w:rsid w:val="0002163B"/>
    <w:rsid w:val="00026B8D"/>
    <w:rsid w:val="00027A7F"/>
    <w:rsid w:val="000405EC"/>
    <w:rsid w:val="00043D6E"/>
    <w:rsid w:val="0005555B"/>
    <w:rsid w:val="00086D61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23E1C"/>
    <w:rsid w:val="00133B32"/>
    <w:rsid w:val="00136D1C"/>
    <w:rsid w:val="00140461"/>
    <w:rsid w:val="0014271A"/>
    <w:rsid w:val="001538C4"/>
    <w:rsid w:val="00167169"/>
    <w:rsid w:val="00176F30"/>
    <w:rsid w:val="00177D55"/>
    <w:rsid w:val="001935DF"/>
    <w:rsid w:val="0019749A"/>
    <w:rsid w:val="001B7130"/>
    <w:rsid w:val="001E20D6"/>
    <w:rsid w:val="001F0C26"/>
    <w:rsid w:val="002051F5"/>
    <w:rsid w:val="0020535B"/>
    <w:rsid w:val="002173A6"/>
    <w:rsid w:val="00252728"/>
    <w:rsid w:val="00257E60"/>
    <w:rsid w:val="00271495"/>
    <w:rsid w:val="0027767A"/>
    <w:rsid w:val="002779BB"/>
    <w:rsid w:val="00281782"/>
    <w:rsid w:val="002825E3"/>
    <w:rsid w:val="00284FAB"/>
    <w:rsid w:val="002B0D3F"/>
    <w:rsid w:val="002B6692"/>
    <w:rsid w:val="002C6A17"/>
    <w:rsid w:val="002E45EC"/>
    <w:rsid w:val="002F4E1B"/>
    <w:rsid w:val="002F6C9C"/>
    <w:rsid w:val="003117BC"/>
    <w:rsid w:val="003121B2"/>
    <w:rsid w:val="00330D3D"/>
    <w:rsid w:val="003478DA"/>
    <w:rsid w:val="00354FC9"/>
    <w:rsid w:val="00356BED"/>
    <w:rsid w:val="00357E79"/>
    <w:rsid w:val="00363380"/>
    <w:rsid w:val="003857A7"/>
    <w:rsid w:val="003A0081"/>
    <w:rsid w:val="003A1FF8"/>
    <w:rsid w:val="003A2FCC"/>
    <w:rsid w:val="003A7837"/>
    <w:rsid w:val="003B7412"/>
    <w:rsid w:val="003C4E8B"/>
    <w:rsid w:val="003D4ED5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F534E"/>
    <w:rsid w:val="004F600A"/>
    <w:rsid w:val="00510B13"/>
    <w:rsid w:val="00514479"/>
    <w:rsid w:val="00526CA2"/>
    <w:rsid w:val="005373C0"/>
    <w:rsid w:val="00554020"/>
    <w:rsid w:val="00555DE5"/>
    <w:rsid w:val="005614FF"/>
    <w:rsid w:val="00571372"/>
    <w:rsid w:val="00573B26"/>
    <w:rsid w:val="005750B3"/>
    <w:rsid w:val="00575DE3"/>
    <w:rsid w:val="00582180"/>
    <w:rsid w:val="005823A8"/>
    <w:rsid w:val="005C2DAE"/>
    <w:rsid w:val="005C3B4D"/>
    <w:rsid w:val="005D5A07"/>
    <w:rsid w:val="005E4570"/>
    <w:rsid w:val="005F09FF"/>
    <w:rsid w:val="005F5381"/>
    <w:rsid w:val="005F6297"/>
    <w:rsid w:val="00634806"/>
    <w:rsid w:val="00650ACA"/>
    <w:rsid w:val="00664D68"/>
    <w:rsid w:val="006824D2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805C24"/>
    <w:rsid w:val="00813A3D"/>
    <w:rsid w:val="00830AF5"/>
    <w:rsid w:val="008462B8"/>
    <w:rsid w:val="00850063"/>
    <w:rsid w:val="0087000C"/>
    <w:rsid w:val="008701B3"/>
    <w:rsid w:val="00876FC6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064F2"/>
    <w:rsid w:val="009316B0"/>
    <w:rsid w:val="00931EEA"/>
    <w:rsid w:val="00946D49"/>
    <w:rsid w:val="009515BA"/>
    <w:rsid w:val="00954341"/>
    <w:rsid w:val="00961F04"/>
    <w:rsid w:val="00971840"/>
    <w:rsid w:val="009A0BC4"/>
    <w:rsid w:val="009B6C9C"/>
    <w:rsid w:val="009C1218"/>
    <w:rsid w:val="009D09C4"/>
    <w:rsid w:val="009D7476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C4391"/>
    <w:rsid w:val="00AF77C5"/>
    <w:rsid w:val="00B02942"/>
    <w:rsid w:val="00B03616"/>
    <w:rsid w:val="00B0665D"/>
    <w:rsid w:val="00B22374"/>
    <w:rsid w:val="00B23A11"/>
    <w:rsid w:val="00B439CB"/>
    <w:rsid w:val="00B46DED"/>
    <w:rsid w:val="00B518D4"/>
    <w:rsid w:val="00B51FB5"/>
    <w:rsid w:val="00B61B9E"/>
    <w:rsid w:val="00B662F7"/>
    <w:rsid w:val="00B76549"/>
    <w:rsid w:val="00B901B4"/>
    <w:rsid w:val="00B95A04"/>
    <w:rsid w:val="00BA430A"/>
    <w:rsid w:val="00BA6202"/>
    <w:rsid w:val="00BB7846"/>
    <w:rsid w:val="00BC7807"/>
    <w:rsid w:val="00BC784B"/>
    <w:rsid w:val="00BD3079"/>
    <w:rsid w:val="00BD3FC3"/>
    <w:rsid w:val="00BE505D"/>
    <w:rsid w:val="00BF31F7"/>
    <w:rsid w:val="00C000B5"/>
    <w:rsid w:val="00C164C6"/>
    <w:rsid w:val="00C16E68"/>
    <w:rsid w:val="00C24D36"/>
    <w:rsid w:val="00C32C26"/>
    <w:rsid w:val="00C34239"/>
    <w:rsid w:val="00C41BCD"/>
    <w:rsid w:val="00C659F8"/>
    <w:rsid w:val="00C7107C"/>
    <w:rsid w:val="00CB0012"/>
    <w:rsid w:val="00CC1889"/>
    <w:rsid w:val="00CE0D06"/>
    <w:rsid w:val="00D045DD"/>
    <w:rsid w:val="00D1154F"/>
    <w:rsid w:val="00D30DFC"/>
    <w:rsid w:val="00D34EBB"/>
    <w:rsid w:val="00D35BE4"/>
    <w:rsid w:val="00D4058C"/>
    <w:rsid w:val="00D52DA1"/>
    <w:rsid w:val="00D829FF"/>
    <w:rsid w:val="00DA2376"/>
    <w:rsid w:val="00DC0B55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4DC1"/>
    <w:rsid w:val="00E57ACB"/>
    <w:rsid w:val="00E62952"/>
    <w:rsid w:val="00E83E50"/>
    <w:rsid w:val="00E86038"/>
    <w:rsid w:val="00EA3DD3"/>
    <w:rsid w:val="00EB3F13"/>
    <w:rsid w:val="00EB72AB"/>
    <w:rsid w:val="00EB7677"/>
    <w:rsid w:val="00ED3515"/>
    <w:rsid w:val="00EF33A2"/>
    <w:rsid w:val="00F00D4E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67DC7"/>
    <w:rsid w:val="00F76334"/>
    <w:rsid w:val="00F87B2D"/>
    <w:rsid w:val="00F91BE6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10583758"/>
  <w15:chartTrackingRefBased/>
  <w15:docId w15:val="{394B6AF0-08E7-40EF-A0F8-BFC65566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E20D6"/>
    <w:rPr>
      <w:color w:val="0000FF"/>
      <w:u w:val="single"/>
    </w:rPr>
  </w:style>
  <w:style w:type="character" w:styleId="FollowedHyperlink">
    <w:name w:val="FollowedHyperlink"/>
    <w:basedOn w:val="DefaultParagraphFont"/>
    <w:rsid w:val="00C000B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-eu.org/en/" TargetMode="External"/><Relationship Id="rId13" Type="http://schemas.openxmlformats.org/officeDocument/2006/relationships/hyperlink" Target="http://tc0104.ashraetc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cnetinternational.org/?" TargetMode="External"/><Relationship Id="rId12" Type="http://schemas.openxmlformats.org/officeDocument/2006/relationships/hyperlink" Target="https://www.techstreet.com/ashrae/standards/ashrae-135-1-2019?product_id=20827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earches/21916812" TargetMode="External"/><Relationship Id="rId11" Type="http://schemas.openxmlformats.org/officeDocument/2006/relationships/hyperlink" Target="https://www.techstreet.com/ashrae/standards/ashrae-135-2020?product_id=2191852" TargetMode="External"/><Relationship Id="rId5" Type="http://schemas.openxmlformats.org/officeDocument/2006/relationships/hyperlink" Target="https://www.techstreet.com/ashrae/searches/219171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shrae.org" TargetMode="External"/><Relationship Id="rId4" Type="http://schemas.openxmlformats.org/officeDocument/2006/relationships/hyperlink" Target="https://www.bacnetinternational.net/btl/" TargetMode="External"/><Relationship Id="rId9" Type="http://schemas.openxmlformats.org/officeDocument/2006/relationships/hyperlink" Target="http://www.bacnet.org/" TargetMode="External"/><Relationship Id="rId14" Type="http://schemas.openxmlformats.org/officeDocument/2006/relationships/hyperlink" Target="http://www.ba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2228</CharactersWithSpaces>
  <SharedDoc>false</SharedDoc>
  <HLinks>
    <vt:vector size="66" baseType="variant">
      <vt:variant>
        <vt:i4>3932195</vt:i4>
      </vt:variant>
      <vt:variant>
        <vt:i4>30</vt:i4>
      </vt:variant>
      <vt:variant>
        <vt:i4>0</vt:i4>
      </vt:variant>
      <vt:variant>
        <vt:i4>5</vt:i4>
      </vt:variant>
      <vt:variant>
        <vt:lpwstr>http://www.bacnet.org/</vt:lpwstr>
      </vt:variant>
      <vt:variant>
        <vt:lpwstr/>
      </vt:variant>
      <vt:variant>
        <vt:i4>3407929</vt:i4>
      </vt:variant>
      <vt:variant>
        <vt:i4>27</vt:i4>
      </vt:variant>
      <vt:variant>
        <vt:i4>0</vt:i4>
      </vt:variant>
      <vt:variant>
        <vt:i4>5</vt:i4>
      </vt:variant>
      <vt:variant>
        <vt:lpwstr>http://tc14.ashraetcs.org/</vt:lpwstr>
      </vt:variant>
      <vt:variant>
        <vt:lpwstr/>
      </vt:variant>
      <vt:variant>
        <vt:i4>2097218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http://www.techstreet.com/standards/ashrae/135_1_2009?product_id=1676446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http://www.techstreet.com/standards/ashrae/135_2010?product_id=1778347</vt:lpwstr>
      </vt:variant>
      <vt:variant>
        <vt:lpwstr/>
      </vt:variant>
      <vt:variant>
        <vt:i4>3145788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1441819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http://www.techstreet.com/standards/ashrae/135_2010?product_id=1778347</vt:lpwstr>
      </vt:variant>
      <vt:variant>
        <vt:lpwstr/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>http://www.bacnet.org/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http://www.big-eu.org/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http://www.bacnetinternational.org/</vt:lpwstr>
      </vt:variant>
      <vt:variant>
        <vt:lpwstr/>
      </vt:variant>
      <vt:variant>
        <vt:i4>2097218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http://www.techstreet.com/standards/ashrae/135_1_2009?product_id=1676446</vt:lpwstr>
      </vt:variant>
      <vt:variant>
        <vt:lpwstr/>
      </vt:variant>
      <vt:variant>
        <vt:i4>2097218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http://www.techstreet.com/standards/ashrae/135_1_2009?product_id=1676446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cp:lastPrinted>2014-05-27T17:43:00Z</cp:lastPrinted>
  <dcterms:created xsi:type="dcterms:W3CDTF">2018-12-13T23:21:00Z</dcterms:created>
  <dcterms:modified xsi:type="dcterms:W3CDTF">2023-10-19T21:17:00Z</dcterms:modified>
</cp:coreProperties>
</file>