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CA85" w14:textId="77777777" w:rsidR="00A35BBF" w:rsidRPr="00A35BBF" w:rsidRDefault="00A35BBF">
      <w:pPr>
        <w:rPr>
          <w:rFonts w:ascii="Arial" w:hAnsi="Arial" w:cs="Arial"/>
          <w:b/>
          <w:sz w:val="22"/>
          <w:szCs w:val="22"/>
        </w:rPr>
      </w:pPr>
    </w:p>
    <w:tbl>
      <w:tblPr>
        <w:tblW w:w="8400" w:type="dxa"/>
        <w:tblCellSpacing w:w="0" w:type="dxa"/>
        <w:tblCellMar>
          <w:left w:w="0" w:type="dxa"/>
          <w:right w:w="0" w:type="dxa"/>
        </w:tblCellMar>
        <w:tblLook w:val="0000" w:firstRow="0" w:lastRow="0" w:firstColumn="0" w:lastColumn="0" w:noHBand="0" w:noVBand="0"/>
      </w:tblPr>
      <w:tblGrid>
        <w:gridCol w:w="10104"/>
        <w:gridCol w:w="6"/>
      </w:tblGrid>
      <w:tr w:rsidR="00E11623" w14:paraId="72724A12" w14:textId="77777777">
        <w:trPr>
          <w:tblCellSpacing w:w="0" w:type="dxa"/>
        </w:trPr>
        <w:tc>
          <w:tcPr>
            <w:tcW w:w="0" w:type="auto"/>
            <w:gridSpan w:val="2"/>
            <w:vAlign w:val="center"/>
          </w:tcPr>
          <w:p w14:paraId="32C609CA" w14:textId="77777777" w:rsidR="00E11623" w:rsidRDefault="00E11623">
            <w:pPr>
              <w:pStyle w:val="Heading3"/>
            </w:pPr>
            <w:r>
              <w:t>ASHRAE Technical FAQ</w:t>
            </w:r>
          </w:p>
        </w:tc>
      </w:tr>
      <w:tr w:rsidR="00E11623" w14:paraId="23F7D0CA"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E11623" w14:paraId="332BF6DD" w14:textId="77777777">
              <w:trPr>
                <w:trHeight w:val="102"/>
                <w:tblCellSpacing w:w="0" w:type="dxa"/>
              </w:trPr>
              <w:tc>
                <w:tcPr>
                  <w:tcW w:w="5000" w:type="pct"/>
                  <w:gridSpan w:val="4"/>
                  <w:vAlign w:val="center"/>
                </w:tcPr>
                <w:p w14:paraId="25907D84" w14:textId="77777777" w:rsidR="00E11623" w:rsidRDefault="005D6159">
                  <w:r>
                    <w:pict w14:anchorId="3DFE231C">
                      <v:rect id="_x0000_i1025" style="width:0;height:1.5pt" o:hralign="center" o:hrstd="t" o:hr="t" fillcolor="#aca899" stroked="f"/>
                    </w:pict>
                  </w:r>
                </w:p>
              </w:tc>
            </w:tr>
            <w:tr w:rsidR="00E11623" w14:paraId="3A7DB3A1" w14:textId="77777777">
              <w:trPr>
                <w:gridAfter w:val="1"/>
                <w:wAfter w:w="368" w:type="pct"/>
                <w:trHeight w:val="102"/>
                <w:tblCellSpacing w:w="0" w:type="dxa"/>
              </w:trPr>
              <w:tc>
                <w:tcPr>
                  <w:tcW w:w="980" w:type="pct"/>
                  <w:vAlign w:val="center"/>
                </w:tcPr>
                <w:p w14:paraId="38AA41D2" w14:textId="77777777" w:rsidR="00E11623" w:rsidRPr="00CF0103" w:rsidRDefault="00E11623">
                  <w:r w:rsidRPr="00CF0103">
                    <w:t xml:space="preserve">ID </w:t>
                  </w:r>
                </w:p>
              </w:tc>
              <w:tc>
                <w:tcPr>
                  <w:tcW w:w="3652" w:type="pct"/>
                  <w:gridSpan w:val="2"/>
                  <w:vAlign w:val="center"/>
                </w:tcPr>
                <w:p w14:paraId="76ABDE57" w14:textId="77777777" w:rsidR="00E11623" w:rsidRPr="00CF0103" w:rsidRDefault="00CF0103">
                  <w:r w:rsidRPr="00CF0103">
                    <w:t>92</w:t>
                  </w:r>
                </w:p>
              </w:tc>
            </w:tr>
            <w:tr w:rsidR="00E11623" w14:paraId="3BCD4191" w14:textId="77777777">
              <w:trPr>
                <w:gridAfter w:val="1"/>
                <w:wAfter w:w="368" w:type="pct"/>
                <w:trHeight w:val="102"/>
                <w:tblCellSpacing w:w="0" w:type="dxa"/>
              </w:trPr>
              <w:tc>
                <w:tcPr>
                  <w:tcW w:w="4632" w:type="pct"/>
                  <w:gridSpan w:val="3"/>
                  <w:vAlign w:val="center"/>
                </w:tcPr>
                <w:p w14:paraId="0361036E" w14:textId="77777777" w:rsidR="00E11623" w:rsidRPr="00CF0103" w:rsidRDefault="005D6159">
                  <w:r>
                    <w:pict w14:anchorId="5995C183">
                      <v:rect id="_x0000_i1026" style="width:0;height:1.5pt" o:hralign="center" o:hrstd="t" o:hr="t" fillcolor="#aca899" stroked="f"/>
                    </w:pict>
                  </w:r>
                </w:p>
              </w:tc>
            </w:tr>
            <w:tr w:rsidR="00E11623" w14:paraId="5826BE9B" w14:textId="77777777">
              <w:trPr>
                <w:gridAfter w:val="1"/>
                <w:wAfter w:w="368" w:type="pct"/>
                <w:trHeight w:val="102"/>
                <w:tblCellSpacing w:w="0" w:type="dxa"/>
              </w:trPr>
              <w:tc>
                <w:tcPr>
                  <w:tcW w:w="980" w:type="pct"/>
                  <w:vAlign w:val="center"/>
                </w:tcPr>
                <w:p w14:paraId="4C5930C4" w14:textId="77777777" w:rsidR="00E11623" w:rsidRPr="00CF0103" w:rsidRDefault="00E11623">
                  <w:r w:rsidRPr="00CF0103">
                    <w:t xml:space="preserve">Question </w:t>
                  </w:r>
                </w:p>
              </w:tc>
              <w:tc>
                <w:tcPr>
                  <w:tcW w:w="3652" w:type="pct"/>
                  <w:gridSpan w:val="2"/>
                  <w:vAlign w:val="center"/>
                </w:tcPr>
                <w:p w14:paraId="14B0A7EC" w14:textId="77777777" w:rsidR="00E11623" w:rsidRPr="00CF0103" w:rsidRDefault="00CF0103">
                  <w:r w:rsidRPr="00CF0103">
                    <w:t>What are the recommended indoor temperature and humidity levels for homes?</w:t>
                  </w:r>
                </w:p>
              </w:tc>
            </w:tr>
            <w:tr w:rsidR="00E11623" w14:paraId="68496DC5" w14:textId="77777777">
              <w:trPr>
                <w:gridAfter w:val="1"/>
                <w:wAfter w:w="368" w:type="pct"/>
                <w:trHeight w:val="102"/>
                <w:tblCellSpacing w:w="0" w:type="dxa"/>
              </w:trPr>
              <w:tc>
                <w:tcPr>
                  <w:tcW w:w="4632" w:type="pct"/>
                  <w:gridSpan w:val="3"/>
                  <w:vAlign w:val="center"/>
                </w:tcPr>
                <w:p w14:paraId="616B3126" w14:textId="77777777" w:rsidR="00E11623" w:rsidRPr="00CF0103" w:rsidRDefault="005D6159">
                  <w:r>
                    <w:pict w14:anchorId="612D9E59">
                      <v:rect id="_x0000_i1027" style="width:0;height:1.5pt" o:hralign="center" o:hrstd="t" o:hr="t" fillcolor="#aca899" stroked="f"/>
                    </w:pict>
                  </w:r>
                </w:p>
              </w:tc>
            </w:tr>
            <w:tr w:rsidR="00E11623" w14:paraId="732D4E75" w14:textId="77777777">
              <w:trPr>
                <w:gridAfter w:val="1"/>
                <w:wAfter w:w="368" w:type="pct"/>
                <w:trHeight w:val="102"/>
                <w:tblCellSpacing w:w="0" w:type="dxa"/>
              </w:trPr>
              <w:tc>
                <w:tcPr>
                  <w:tcW w:w="980" w:type="pct"/>
                  <w:vAlign w:val="center"/>
                </w:tcPr>
                <w:p w14:paraId="64051F24" w14:textId="77777777" w:rsidR="00E11623" w:rsidRPr="00CF0103" w:rsidRDefault="00E11623">
                  <w:r w:rsidRPr="00CF0103">
                    <w:t xml:space="preserve">Answer </w:t>
                  </w:r>
                </w:p>
              </w:tc>
              <w:tc>
                <w:tcPr>
                  <w:tcW w:w="3652" w:type="pct"/>
                  <w:gridSpan w:val="2"/>
                  <w:vAlign w:val="center"/>
                </w:tcPr>
                <w:p w14:paraId="33889C98" w14:textId="2B88C419" w:rsidR="00CF0103" w:rsidRPr="00CF0103" w:rsidRDefault="005D6159" w:rsidP="00CF0103">
                  <w:hyperlink r:id="rId4" w:history="1">
                    <w:r w:rsidRPr="00B555CD">
                      <w:rPr>
                        <w:rStyle w:val="Hyperlink"/>
                      </w:rPr>
                      <w:t>ASHRAE Standard 55-20</w:t>
                    </w:r>
                    <w:r>
                      <w:rPr>
                        <w:rStyle w:val="Hyperlink"/>
                      </w:rPr>
                      <w:t>20</w:t>
                    </w:r>
                  </w:hyperlink>
                  <w:r w:rsidR="00795B30">
                    <w:rPr>
                      <w:color w:val="000000"/>
                    </w:rPr>
                    <w:t xml:space="preserve">, </w:t>
                  </w:r>
                  <w:r w:rsidR="00CF0103" w:rsidRPr="00CF0103">
                    <w:t xml:space="preserve">Thermal Environmental Conditions for Human Occupancy, notes that for thermal comfort purposes, temperature could range from between approximately 67 and 82 °F. A more specific range can be determined from the standard but depends on relative humidity, season, clothing worn, activity levels, and other factors. The standard notes that HVAC systems must be able to maintain a humidity ratio of at or below 0.012.  This corresponds to an upper relative humidity level as high as more than 80% at low dry bulb temperatures but may be lower dependant upon factors such as temperature and the other factors listed above. The standard does not specify a lower humidity limit but notes that non-thermal comfort factors such as skin drying, irritation of mucus membranes, dry eyes, and static electricity may place limits on acceptability of very low humidity environments. </w:t>
                  </w:r>
                  <w:r w:rsidR="00CF0103" w:rsidRPr="00CF0103">
                    <w:br/>
                  </w:r>
                  <w:r w:rsidR="00CF0103" w:rsidRPr="00CF0103">
                    <w:br/>
                  </w:r>
                  <w:hyperlink r:id="rId5" w:history="1">
                    <w:r w:rsidRPr="00795B30">
                      <w:rPr>
                        <w:rStyle w:val="Hyperlink"/>
                      </w:rPr>
                      <w:t>ASHRAE Standard 62.1-20</w:t>
                    </w:r>
                    <w:r>
                      <w:rPr>
                        <w:rStyle w:val="Hyperlink"/>
                      </w:rPr>
                      <w:t>22</w:t>
                    </w:r>
                  </w:hyperlink>
                  <w:r w:rsidR="00795B30">
                    <w:rPr>
                      <w:color w:val="000000"/>
                    </w:rPr>
                    <w:t xml:space="preserve"> </w:t>
                  </w:r>
                  <w:r w:rsidR="00CF0103" w:rsidRPr="00CF0103">
                    <w:t>recommends that relative humidity in occupied spaces be controlled to less than 65% to reduce the likelihood of conditions that can lead to microbial growth.</w:t>
                  </w:r>
                </w:p>
                <w:p w14:paraId="1AEC3801" w14:textId="77777777" w:rsidR="00E11623" w:rsidRPr="00CF0103" w:rsidRDefault="00CF0103" w:rsidP="00CF0103">
                  <w:r w:rsidRPr="00CF0103">
                    <w:br/>
                    <w:t xml:space="preserve">The handbook and standards may be purchased and/or individual chapters of the handbook may be purchased and downloaded on-line at our website, </w:t>
                  </w:r>
                  <w:hyperlink r:id="rId6" w:history="1">
                    <w:r w:rsidR="002579BF" w:rsidRPr="00B02DB4">
                      <w:rPr>
                        <w:rStyle w:val="Hyperlink"/>
                      </w:rPr>
                      <w:t>www.ashrae.org</w:t>
                    </w:r>
                  </w:hyperlink>
                  <w:r w:rsidR="002579BF">
                    <w:t xml:space="preserve"> </w:t>
                  </w:r>
                  <w:r w:rsidRPr="00CF0103">
                    <w:t xml:space="preserve">or by calling 1-800-527-4723 in the </w:t>
                  </w:r>
                  <w:smartTag w:uri="urn:schemas-microsoft-com:office:smarttags" w:element="country-region">
                    <w:r w:rsidRPr="00CF0103">
                      <w:t>USA</w:t>
                    </w:r>
                  </w:smartTag>
                  <w:r w:rsidRPr="00CF0103">
                    <w:t xml:space="preserve"> and </w:t>
                  </w:r>
                  <w:smartTag w:uri="urn:schemas-microsoft-com:office:smarttags" w:element="country-region">
                    <w:smartTag w:uri="urn:schemas-microsoft-com:office:smarttags" w:element="place">
                      <w:r w:rsidRPr="00CF0103">
                        <w:t>Canada</w:t>
                      </w:r>
                    </w:smartTag>
                  </w:smartTag>
                  <w:r w:rsidRPr="00CF0103">
                    <w:t xml:space="preserve"> or 1-404-636-8400 worldwide.</w:t>
                  </w:r>
                </w:p>
              </w:tc>
            </w:tr>
            <w:tr w:rsidR="00E11623" w14:paraId="11976BEB" w14:textId="77777777">
              <w:trPr>
                <w:gridAfter w:val="1"/>
                <w:wAfter w:w="368" w:type="pct"/>
                <w:trHeight w:val="212"/>
                <w:tblCellSpacing w:w="0" w:type="dxa"/>
              </w:trPr>
              <w:tc>
                <w:tcPr>
                  <w:tcW w:w="4632" w:type="pct"/>
                  <w:gridSpan w:val="3"/>
                  <w:vAlign w:val="center"/>
                </w:tcPr>
                <w:p w14:paraId="2C27E560" w14:textId="77777777" w:rsidR="00E11623" w:rsidRPr="00CF0103" w:rsidRDefault="005D6159">
                  <w:r>
                    <w:pict w14:anchorId="2E209B6B">
                      <v:rect id="_x0000_i1028" style="width:0;height:1.5pt" o:hralign="center" o:hrstd="t" o:hr="t" fillcolor="#aca899" stroked="f"/>
                    </w:pict>
                  </w:r>
                </w:p>
              </w:tc>
            </w:tr>
            <w:tr w:rsidR="00E11623" w14:paraId="3A2EBB9D" w14:textId="77777777">
              <w:trPr>
                <w:gridAfter w:val="1"/>
                <w:wAfter w:w="368" w:type="pct"/>
                <w:trHeight w:val="396"/>
                <w:tblCellSpacing w:w="0" w:type="dxa"/>
              </w:trPr>
              <w:tc>
                <w:tcPr>
                  <w:tcW w:w="980" w:type="pct"/>
                  <w:vAlign w:val="center"/>
                </w:tcPr>
                <w:p w14:paraId="7913DA41" w14:textId="77777777" w:rsidR="00E11623" w:rsidRPr="00CF0103" w:rsidRDefault="00E11623">
                  <w:r w:rsidRPr="00CF0103">
                    <w:t xml:space="preserve">ASHRAE Pubs </w:t>
                  </w:r>
                </w:p>
              </w:tc>
              <w:tc>
                <w:tcPr>
                  <w:tcW w:w="3652" w:type="pct"/>
                  <w:gridSpan w:val="2"/>
                  <w:vAlign w:val="center"/>
                </w:tcPr>
                <w:p w14:paraId="09A8DF2F" w14:textId="5FE3C548" w:rsidR="00CF0103" w:rsidRPr="00CF0103" w:rsidRDefault="005D6159" w:rsidP="00CF0103">
                  <w:hyperlink r:id="rId7" w:history="1">
                    <w:r w:rsidRPr="00B555CD">
                      <w:rPr>
                        <w:rStyle w:val="Hyperlink"/>
                      </w:rPr>
                      <w:t>ASHRAE Standard 55-20</w:t>
                    </w:r>
                    <w:r>
                      <w:rPr>
                        <w:rStyle w:val="Hyperlink"/>
                      </w:rPr>
                      <w:t>20</w:t>
                    </w:r>
                  </w:hyperlink>
                  <w:r w:rsidR="00795B30">
                    <w:rPr>
                      <w:color w:val="000000"/>
                    </w:rPr>
                    <w:t xml:space="preserve"> </w:t>
                  </w:r>
                  <w:r w:rsidR="00CF0103" w:rsidRPr="00CF0103">
                    <w:t xml:space="preserve">plus </w:t>
                  </w:r>
                  <w:hyperlink r:id="rId8" w:history="1">
                    <w:r w:rsidR="00795B30" w:rsidRPr="00B06066">
                      <w:rPr>
                        <w:rStyle w:val="Hyperlink"/>
                      </w:rPr>
                      <w:t>ASHRAE BOD approved addenda</w:t>
                    </w:r>
                  </w:hyperlink>
                  <w:r w:rsidR="00795B30" w:rsidRPr="00B06066">
                    <w:rPr>
                      <w:color w:val="000000"/>
                    </w:rPr>
                    <w:t>.</w:t>
                  </w:r>
                </w:p>
                <w:p w14:paraId="2E86D362" w14:textId="2D62E112" w:rsidR="00CF0103" w:rsidRPr="00CF0103" w:rsidRDefault="00CF0103" w:rsidP="00CF0103">
                  <w:r w:rsidRPr="00CF0103">
                    <w:br/>
                  </w:r>
                  <w:hyperlink r:id="rId9" w:history="1">
                    <w:r w:rsidR="00C92989" w:rsidRPr="00795B30">
                      <w:rPr>
                        <w:rStyle w:val="Hyperlink"/>
                      </w:rPr>
                      <w:t>ASHRAE Standard 62.1-20</w:t>
                    </w:r>
                    <w:r w:rsidR="005D6159">
                      <w:rPr>
                        <w:rStyle w:val="Hyperlink"/>
                      </w:rPr>
                      <w:t>22</w:t>
                    </w:r>
                  </w:hyperlink>
                  <w:r w:rsidR="00795B30">
                    <w:rPr>
                      <w:color w:val="000000"/>
                    </w:rPr>
                    <w:t xml:space="preserve"> </w:t>
                  </w:r>
                  <w:r w:rsidRPr="00CF0103">
                    <w:t xml:space="preserve">plus </w:t>
                  </w:r>
                  <w:hyperlink r:id="rId10" w:history="1">
                    <w:r w:rsidR="00795B30" w:rsidRPr="00B06066">
                      <w:rPr>
                        <w:rStyle w:val="Hyperlink"/>
                      </w:rPr>
                      <w:t>ASHRAE BOD approved addenda</w:t>
                    </w:r>
                  </w:hyperlink>
                  <w:r w:rsidR="00795B30" w:rsidRPr="00B06066">
                    <w:rPr>
                      <w:color w:val="000000"/>
                    </w:rPr>
                    <w:t>.</w:t>
                  </w:r>
                </w:p>
                <w:p w14:paraId="0568311E" w14:textId="77777777" w:rsidR="00CF0103" w:rsidRPr="00CF0103" w:rsidRDefault="00CF0103" w:rsidP="00CF0103"/>
                <w:p w14:paraId="09310F90" w14:textId="178A8445" w:rsidR="00E11623" w:rsidRPr="00CF0103" w:rsidRDefault="005D6159" w:rsidP="00761FF1">
                  <w:hyperlink r:id="rId11" w:history="1">
                    <w:r w:rsidR="00795B30" w:rsidRPr="00D7016A">
                      <w:rPr>
                        <w:rStyle w:val="Hyperlink"/>
                      </w:rPr>
                      <w:t>20</w:t>
                    </w:r>
                    <w:r>
                      <w:rPr>
                        <w:rStyle w:val="Hyperlink"/>
                      </w:rPr>
                      <w:t>21</w:t>
                    </w:r>
                    <w:r w:rsidR="00795B30" w:rsidRPr="00D7016A">
                      <w:rPr>
                        <w:rStyle w:val="Hyperlink"/>
                      </w:rPr>
                      <w:t xml:space="preserve"> ASHRAE Handbook - Fundamentals</w:t>
                    </w:r>
                  </w:hyperlink>
                  <w:r w:rsidR="00795B30" w:rsidRPr="00D7016A">
                    <w:rPr>
                      <w:color w:val="000000"/>
                    </w:rPr>
                    <w:t xml:space="preserve">, </w:t>
                  </w:r>
                  <w:hyperlink r:id="rId12" w:history="1">
                    <w:r w:rsidR="00795B30" w:rsidRPr="00D7016A">
                      <w:rPr>
                        <w:rStyle w:val="Hyperlink"/>
                      </w:rPr>
                      <w:t>Chapter F9</w:t>
                    </w:r>
                  </w:hyperlink>
                </w:p>
              </w:tc>
            </w:tr>
            <w:tr w:rsidR="00E11623" w14:paraId="1028E447" w14:textId="77777777">
              <w:trPr>
                <w:gridAfter w:val="1"/>
                <w:wAfter w:w="368" w:type="pct"/>
                <w:trHeight w:val="198"/>
                <w:tblCellSpacing w:w="0" w:type="dxa"/>
              </w:trPr>
              <w:tc>
                <w:tcPr>
                  <w:tcW w:w="4632" w:type="pct"/>
                  <w:gridSpan w:val="3"/>
                  <w:vAlign w:val="center"/>
                </w:tcPr>
                <w:p w14:paraId="2DE047A2" w14:textId="77777777" w:rsidR="00E11623" w:rsidRPr="00CF0103" w:rsidRDefault="005D6159">
                  <w:r>
                    <w:pict w14:anchorId="33F71E9B">
                      <v:rect id="_x0000_i1029" style="width:0;height:1.5pt" o:hralign="center" o:hrstd="t" o:hr="t" fillcolor="#aca899" stroked="f"/>
                    </w:pict>
                  </w:r>
                </w:p>
              </w:tc>
            </w:tr>
            <w:tr w:rsidR="00E11623" w14:paraId="677C19FB" w14:textId="77777777">
              <w:trPr>
                <w:gridAfter w:val="1"/>
                <w:wAfter w:w="368" w:type="pct"/>
                <w:trHeight w:val="396"/>
                <w:tblCellSpacing w:w="0" w:type="dxa"/>
              </w:trPr>
              <w:tc>
                <w:tcPr>
                  <w:tcW w:w="980" w:type="pct"/>
                  <w:vAlign w:val="center"/>
                </w:tcPr>
                <w:p w14:paraId="0BCA23C8" w14:textId="77777777" w:rsidR="00E11623" w:rsidRPr="00CF0103" w:rsidRDefault="00E11623">
                  <w:r w:rsidRPr="00CF0103">
                    <w:t xml:space="preserve">Topic References </w:t>
                  </w:r>
                </w:p>
              </w:tc>
              <w:tc>
                <w:tcPr>
                  <w:tcW w:w="3652" w:type="pct"/>
                  <w:gridSpan w:val="2"/>
                  <w:vAlign w:val="center"/>
                </w:tcPr>
                <w:p w14:paraId="64CB54AB" w14:textId="77777777" w:rsidR="00E11623" w:rsidRPr="00CF0103" w:rsidRDefault="00CF0103">
                  <w:r w:rsidRPr="00CF0103">
                    <w:t>temperature, humidity, comfort, set point, moisture, dry, humid, microbial growth</w:t>
                  </w:r>
                </w:p>
              </w:tc>
            </w:tr>
            <w:tr w:rsidR="00E11623" w14:paraId="04164422" w14:textId="77777777">
              <w:trPr>
                <w:trHeight w:val="198"/>
                <w:tblCellSpacing w:w="0" w:type="dxa"/>
              </w:trPr>
              <w:tc>
                <w:tcPr>
                  <w:tcW w:w="5000" w:type="pct"/>
                  <w:gridSpan w:val="4"/>
                  <w:vAlign w:val="center"/>
                </w:tcPr>
                <w:p w14:paraId="1EFDA7AC" w14:textId="77777777" w:rsidR="00E11623" w:rsidRPr="00CF0103" w:rsidRDefault="005D6159">
                  <w:r>
                    <w:pict w14:anchorId="2A5DE5C5">
                      <v:rect id="_x0000_i1030" style="width:0;height:1.5pt" o:hralign="center" o:hrstd="t" o:hr="t" fillcolor="#aca899" stroked="f"/>
                    </w:pict>
                  </w:r>
                </w:p>
              </w:tc>
            </w:tr>
            <w:tr w:rsidR="00E11623" w:rsidRPr="00CF0103" w14:paraId="4B7641EF"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E11623" w:rsidRPr="00CF0103" w14:paraId="4E656F09" w14:textId="77777777" w:rsidTr="00AB4ECE">
                    <w:trPr>
                      <w:trHeight w:val="316"/>
                      <w:jc w:val="center"/>
                    </w:trPr>
                    <w:tc>
                      <w:tcPr>
                        <w:tcW w:w="460" w:type="dxa"/>
                      </w:tcPr>
                      <w:p w14:paraId="65408D3D" w14:textId="77777777" w:rsidR="00E11623" w:rsidRPr="00CF0103" w:rsidRDefault="00E11623"/>
                    </w:tc>
                    <w:tc>
                      <w:tcPr>
                        <w:tcW w:w="3600" w:type="dxa"/>
                      </w:tcPr>
                      <w:p w14:paraId="78774289" w14:textId="77777777" w:rsidR="00E11623" w:rsidRPr="00CF0103" w:rsidRDefault="00E11623">
                        <w:r w:rsidRPr="00CF0103">
                          <w:t>Cognizant ASHRAE Committees</w:t>
                        </w:r>
                      </w:p>
                    </w:tc>
                    <w:tc>
                      <w:tcPr>
                        <w:tcW w:w="2520" w:type="dxa"/>
                      </w:tcPr>
                      <w:p w14:paraId="124078C2" w14:textId="77777777" w:rsidR="00E11623" w:rsidRPr="00CF0103" w:rsidRDefault="00E11623">
                        <w:r w:rsidRPr="00CF0103">
                          <w:t>Refer to Organization</w:t>
                        </w:r>
                      </w:p>
                    </w:tc>
                  </w:tr>
                  <w:tr w:rsidR="00E11623" w:rsidRPr="00CF0103" w14:paraId="69A2FF08" w14:textId="77777777" w:rsidTr="00AB4ECE">
                    <w:trPr>
                      <w:trHeight w:val="293"/>
                      <w:jc w:val="center"/>
                    </w:trPr>
                    <w:tc>
                      <w:tcPr>
                        <w:tcW w:w="460" w:type="dxa"/>
                      </w:tcPr>
                      <w:p w14:paraId="24618DD4" w14:textId="77777777" w:rsidR="00E11623" w:rsidRPr="00CF0103" w:rsidRDefault="00E11623">
                        <w:r w:rsidRPr="00CF0103">
                          <w:t>1</w:t>
                        </w:r>
                      </w:p>
                    </w:tc>
                    <w:tc>
                      <w:tcPr>
                        <w:tcW w:w="3600" w:type="dxa"/>
                      </w:tcPr>
                      <w:p w14:paraId="4D8AC486" w14:textId="77777777" w:rsidR="00E11623" w:rsidRPr="00C86388" w:rsidRDefault="005D6159">
                        <w:pPr>
                          <w:rPr>
                            <w:highlight w:val="yellow"/>
                          </w:rPr>
                        </w:pPr>
                        <w:hyperlink r:id="rId13" w:history="1">
                          <w:r w:rsidR="000350CB" w:rsidRPr="004A0FA8">
                            <w:rPr>
                              <w:rStyle w:val="Hyperlink"/>
                            </w:rPr>
                            <w:t>TC 2.1</w:t>
                          </w:r>
                        </w:hyperlink>
                      </w:p>
                    </w:tc>
                    <w:tc>
                      <w:tcPr>
                        <w:tcW w:w="2520" w:type="dxa"/>
                      </w:tcPr>
                      <w:p w14:paraId="5FA21F98" w14:textId="77777777" w:rsidR="00E11623" w:rsidRPr="00CF0103" w:rsidRDefault="00E11623"/>
                    </w:tc>
                  </w:tr>
                  <w:tr w:rsidR="00E11623" w:rsidRPr="00CF0103" w14:paraId="2BA164C9" w14:textId="77777777" w:rsidTr="00AB4ECE">
                    <w:trPr>
                      <w:trHeight w:val="293"/>
                      <w:jc w:val="center"/>
                    </w:trPr>
                    <w:tc>
                      <w:tcPr>
                        <w:tcW w:w="460" w:type="dxa"/>
                      </w:tcPr>
                      <w:p w14:paraId="2D1EB691" w14:textId="77777777" w:rsidR="00E11623" w:rsidRPr="00CF0103" w:rsidRDefault="00E11623">
                        <w:r w:rsidRPr="00CF0103">
                          <w:t>2</w:t>
                        </w:r>
                      </w:p>
                    </w:tc>
                    <w:tc>
                      <w:tcPr>
                        <w:tcW w:w="3600" w:type="dxa"/>
                      </w:tcPr>
                      <w:p w14:paraId="0E4E984B" w14:textId="77777777" w:rsidR="00E11623" w:rsidRPr="00C86388" w:rsidRDefault="005D6159">
                        <w:pPr>
                          <w:rPr>
                            <w:highlight w:val="yellow"/>
                          </w:rPr>
                        </w:pPr>
                        <w:hyperlink r:id="rId14" w:history="1">
                          <w:r w:rsidR="000350CB" w:rsidRPr="00C9128C">
                            <w:rPr>
                              <w:rStyle w:val="Hyperlink"/>
                            </w:rPr>
                            <w:t>TC 4.3</w:t>
                          </w:r>
                        </w:hyperlink>
                      </w:p>
                    </w:tc>
                    <w:tc>
                      <w:tcPr>
                        <w:tcW w:w="2520" w:type="dxa"/>
                      </w:tcPr>
                      <w:p w14:paraId="783530E3" w14:textId="77777777" w:rsidR="00E11623" w:rsidRPr="00CF0103" w:rsidRDefault="00E11623"/>
                    </w:tc>
                  </w:tr>
                  <w:tr w:rsidR="00E11623" w:rsidRPr="00CF0103" w14:paraId="2E0F5148" w14:textId="77777777" w:rsidTr="00AB4ECE">
                    <w:trPr>
                      <w:trHeight w:val="293"/>
                      <w:jc w:val="center"/>
                    </w:trPr>
                    <w:tc>
                      <w:tcPr>
                        <w:tcW w:w="460" w:type="dxa"/>
                      </w:tcPr>
                      <w:p w14:paraId="69A43148" w14:textId="77777777" w:rsidR="00E11623" w:rsidRPr="00CF0103" w:rsidRDefault="00E11623">
                        <w:r w:rsidRPr="00CF0103">
                          <w:t>3</w:t>
                        </w:r>
                      </w:p>
                    </w:tc>
                    <w:tc>
                      <w:tcPr>
                        <w:tcW w:w="3600" w:type="dxa"/>
                      </w:tcPr>
                      <w:p w14:paraId="5B03952F" w14:textId="77777777" w:rsidR="00E11623" w:rsidRPr="00C86388" w:rsidRDefault="005D6159">
                        <w:pPr>
                          <w:rPr>
                            <w:highlight w:val="yellow"/>
                          </w:rPr>
                        </w:pPr>
                        <w:hyperlink r:id="rId15" w:history="1">
                          <w:r w:rsidR="002579BF" w:rsidRPr="000350CB">
                            <w:rPr>
                              <w:rStyle w:val="Hyperlink"/>
                            </w:rPr>
                            <w:t>TC 5.11</w:t>
                          </w:r>
                        </w:hyperlink>
                      </w:p>
                    </w:tc>
                    <w:tc>
                      <w:tcPr>
                        <w:tcW w:w="2520" w:type="dxa"/>
                      </w:tcPr>
                      <w:p w14:paraId="337F19D8" w14:textId="77777777" w:rsidR="00E11623" w:rsidRPr="00CF0103" w:rsidRDefault="00E11623"/>
                    </w:tc>
                  </w:tr>
                  <w:tr w:rsidR="00E11623" w:rsidRPr="00CF0103" w14:paraId="7B99CBBF" w14:textId="77777777" w:rsidTr="00AB4ECE">
                    <w:trPr>
                      <w:trHeight w:val="316"/>
                      <w:jc w:val="center"/>
                    </w:trPr>
                    <w:tc>
                      <w:tcPr>
                        <w:tcW w:w="460" w:type="dxa"/>
                      </w:tcPr>
                      <w:p w14:paraId="1CADFA85" w14:textId="77777777" w:rsidR="00E11623" w:rsidRPr="00CF0103" w:rsidRDefault="00E11623">
                        <w:r w:rsidRPr="00CF0103">
                          <w:t>4</w:t>
                        </w:r>
                      </w:p>
                    </w:tc>
                    <w:tc>
                      <w:tcPr>
                        <w:tcW w:w="3600" w:type="dxa"/>
                      </w:tcPr>
                      <w:p w14:paraId="59707F1B" w14:textId="77777777" w:rsidR="00E11623" w:rsidRPr="00CF0103" w:rsidRDefault="00CF0103">
                        <w:r w:rsidRPr="00CF0103">
                          <w:t>SSPC 55</w:t>
                        </w:r>
                      </w:p>
                    </w:tc>
                    <w:tc>
                      <w:tcPr>
                        <w:tcW w:w="2520" w:type="dxa"/>
                      </w:tcPr>
                      <w:p w14:paraId="4BC910E4" w14:textId="77777777" w:rsidR="00E11623" w:rsidRPr="00CF0103" w:rsidRDefault="00E11623"/>
                    </w:tc>
                  </w:tr>
                  <w:tr w:rsidR="00E11623" w:rsidRPr="00CF0103" w14:paraId="39DE0849" w14:textId="77777777" w:rsidTr="00AB4ECE">
                    <w:trPr>
                      <w:trHeight w:val="316"/>
                      <w:jc w:val="center"/>
                    </w:trPr>
                    <w:tc>
                      <w:tcPr>
                        <w:tcW w:w="460" w:type="dxa"/>
                      </w:tcPr>
                      <w:p w14:paraId="562A652F" w14:textId="77777777" w:rsidR="00E11623" w:rsidRPr="00CF0103" w:rsidRDefault="00E11623">
                        <w:r w:rsidRPr="00CF0103">
                          <w:t>5</w:t>
                        </w:r>
                      </w:p>
                    </w:tc>
                    <w:tc>
                      <w:tcPr>
                        <w:tcW w:w="3600" w:type="dxa"/>
                      </w:tcPr>
                      <w:p w14:paraId="33788D39" w14:textId="77777777" w:rsidR="00E11623" w:rsidRPr="00CF0103" w:rsidRDefault="00CF0103">
                        <w:r w:rsidRPr="00CF0103">
                          <w:t>SSPC 62.1</w:t>
                        </w:r>
                      </w:p>
                    </w:tc>
                    <w:tc>
                      <w:tcPr>
                        <w:tcW w:w="2520" w:type="dxa"/>
                      </w:tcPr>
                      <w:p w14:paraId="32CE92AF" w14:textId="77777777" w:rsidR="00E11623" w:rsidRPr="00CF0103" w:rsidRDefault="00E11623"/>
                    </w:tc>
                  </w:tr>
                </w:tbl>
                <w:p w14:paraId="15F0A1A7" w14:textId="77777777" w:rsidR="00E11623" w:rsidRPr="00CF0103" w:rsidRDefault="00E11623"/>
              </w:tc>
            </w:tr>
            <w:tr w:rsidR="00E11623" w14:paraId="4192BA2E" w14:textId="77777777">
              <w:trPr>
                <w:trHeight w:val="212"/>
                <w:tblCellSpacing w:w="0" w:type="dxa"/>
              </w:trPr>
              <w:tc>
                <w:tcPr>
                  <w:tcW w:w="5000" w:type="pct"/>
                  <w:gridSpan w:val="4"/>
                  <w:vAlign w:val="center"/>
                </w:tcPr>
                <w:p w14:paraId="12CC457E" w14:textId="77777777" w:rsidR="00E11623" w:rsidRDefault="00E11623"/>
              </w:tc>
            </w:tr>
          </w:tbl>
          <w:p w14:paraId="34FD5486" w14:textId="77777777" w:rsidR="00E11623" w:rsidRDefault="00E11623"/>
        </w:tc>
        <w:tc>
          <w:tcPr>
            <w:tcW w:w="0" w:type="auto"/>
            <w:vAlign w:val="center"/>
          </w:tcPr>
          <w:p w14:paraId="75A05C0A" w14:textId="77777777" w:rsidR="00E11623" w:rsidRDefault="00E11623">
            <w:pPr>
              <w:rPr>
                <w:sz w:val="20"/>
                <w:szCs w:val="20"/>
              </w:rPr>
            </w:pPr>
          </w:p>
        </w:tc>
      </w:tr>
    </w:tbl>
    <w:p w14:paraId="7511913F" w14:textId="77777777" w:rsidR="0073616E" w:rsidRPr="005E4570" w:rsidRDefault="0073616E">
      <w:pPr>
        <w:rPr>
          <w:rFonts w:ascii="Arial" w:hAnsi="Arial" w:cs="Arial"/>
        </w:rPr>
      </w:pPr>
    </w:p>
    <w:sectPr w:rsidR="0073616E"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0103"/>
    <w:rsid w:val="000142F9"/>
    <w:rsid w:val="00026B8D"/>
    <w:rsid w:val="000350CB"/>
    <w:rsid w:val="000405EC"/>
    <w:rsid w:val="00043D6E"/>
    <w:rsid w:val="0005555B"/>
    <w:rsid w:val="000A4C5E"/>
    <w:rsid w:val="000B1E64"/>
    <w:rsid w:val="000C17CC"/>
    <w:rsid w:val="000C3D1F"/>
    <w:rsid w:val="000C7C12"/>
    <w:rsid w:val="000D61FB"/>
    <w:rsid w:val="000E41B2"/>
    <w:rsid w:val="000E46C8"/>
    <w:rsid w:val="000E4A46"/>
    <w:rsid w:val="00105431"/>
    <w:rsid w:val="00111AD9"/>
    <w:rsid w:val="00133B32"/>
    <w:rsid w:val="00136D1C"/>
    <w:rsid w:val="001538C4"/>
    <w:rsid w:val="00160B58"/>
    <w:rsid w:val="00167169"/>
    <w:rsid w:val="00176F30"/>
    <w:rsid w:val="00177D55"/>
    <w:rsid w:val="001935DF"/>
    <w:rsid w:val="0019749A"/>
    <w:rsid w:val="001B7130"/>
    <w:rsid w:val="001F0C26"/>
    <w:rsid w:val="002051F5"/>
    <w:rsid w:val="0020535B"/>
    <w:rsid w:val="002173A6"/>
    <w:rsid w:val="00252728"/>
    <w:rsid w:val="002579BF"/>
    <w:rsid w:val="00257E60"/>
    <w:rsid w:val="00271495"/>
    <w:rsid w:val="0027767A"/>
    <w:rsid w:val="002779BB"/>
    <w:rsid w:val="00281782"/>
    <w:rsid w:val="002825E3"/>
    <w:rsid w:val="00295C38"/>
    <w:rsid w:val="002B0D3F"/>
    <w:rsid w:val="002B6692"/>
    <w:rsid w:val="002C6A17"/>
    <w:rsid w:val="002E45EC"/>
    <w:rsid w:val="002F4E1B"/>
    <w:rsid w:val="002F6C9C"/>
    <w:rsid w:val="003117BC"/>
    <w:rsid w:val="003121B2"/>
    <w:rsid w:val="00333825"/>
    <w:rsid w:val="003478DA"/>
    <w:rsid w:val="00354FC9"/>
    <w:rsid w:val="00356BED"/>
    <w:rsid w:val="00357E79"/>
    <w:rsid w:val="003857A7"/>
    <w:rsid w:val="003A0081"/>
    <w:rsid w:val="003A1FF8"/>
    <w:rsid w:val="003A2FCC"/>
    <w:rsid w:val="003A7837"/>
    <w:rsid w:val="003B7412"/>
    <w:rsid w:val="003C4E8B"/>
    <w:rsid w:val="003D4ED5"/>
    <w:rsid w:val="0040222F"/>
    <w:rsid w:val="004138CF"/>
    <w:rsid w:val="004265F2"/>
    <w:rsid w:val="004275F8"/>
    <w:rsid w:val="00437DC1"/>
    <w:rsid w:val="004424C2"/>
    <w:rsid w:val="004466ED"/>
    <w:rsid w:val="0044728F"/>
    <w:rsid w:val="004543E1"/>
    <w:rsid w:val="00454431"/>
    <w:rsid w:val="00460FE3"/>
    <w:rsid w:val="004816F2"/>
    <w:rsid w:val="004A37B0"/>
    <w:rsid w:val="004A4C42"/>
    <w:rsid w:val="004F534E"/>
    <w:rsid w:val="00526CA2"/>
    <w:rsid w:val="005373C0"/>
    <w:rsid w:val="00554020"/>
    <w:rsid w:val="00555DE5"/>
    <w:rsid w:val="005614FF"/>
    <w:rsid w:val="00571372"/>
    <w:rsid w:val="00573B26"/>
    <w:rsid w:val="005750B3"/>
    <w:rsid w:val="00575DE3"/>
    <w:rsid w:val="005823A8"/>
    <w:rsid w:val="005C2DAE"/>
    <w:rsid w:val="005C3B4D"/>
    <w:rsid w:val="005D5A07"/>
    <w:rsid w:val="005D6159"/>
    <w:rsid w:val="005E4570"/>
    <w:rsid w:val="005F09FF"/>
    <w:rsid w:val="005F5381"/>
    <w:rsid w:val="005F6297"/>
    <w:rsid w:val="00634806"/>
    <w:rsid w:val="00650ACA"/>
    <w:rsid w:val="006A394D"/>
    <w:rsid w:val="006B4FBD"/>
    <w:rsid w:val="006B6767"/>
    <w:rsid w:val="006C4140"/>
    <w:rsid w:val="006E623D"/>
    <w:rsid w:val="006F2C88"/>
    <w:rsid w:val="006F48B2"/>
    <w:rsid w:val="007017C3"/>
    <w:rsid w:val="00706381"/>
    <w:rsid w:val="00714365"/>
    <w:rsid w:val="00724256"/>
    <w:rsid w:val="0073616E"/>
    <w:rsid w:val="007467D8"/>
    <w:rsid w:val="00757A1E"/>
    <w:rsid w:val="00761FF1"/>
    <w:rsid w:val="007630B1"/>
    <w:rsid w:val="007712CD"/>
    <w:rsid w:val="007776A6"/>
    <w:rsid w:val="0078711F"/>
    <w:rsid w:val="00795B30"/>
    <w:rsid w:val="007B0644"/>
    <w:rsid w:val="007B13FA"/>
    <w:rsid w:val="007B4575"/>
    <w:rsid w:val="007D4461"/>
    <w:rsid w:val="007D767C"/>
    <w:rsid w:val="00805C24"/>
    <w:rsid w:val="00813A3D"/>
    <w:rsid w:val="00830AF5"/>
    <w:rsid w:val="008462B8"/>
    <w:rsid w:val="00850063"/>
    <w:rsid w:val="0087000C"/>
    <w:rsid w:val="008701B3"/>
    <w:rsid w:val="00881807"/>
    <w:rsid w:val="008A1C67"/>
    <w:rsid w:val="008A5008"/>
    <w:rsid w:val="008A784F"/>
    <w:rsid w:val="008B3AE9"/>
    <w:rsid w:val="008B4DCE"/>
    <w:rsid w:val="008C0BEF"/>
    <w:rsid w:val="008C5134"/>
    <w:rsid w:val="008D2B09"/>
    <w:rsid w:val="008D5447"/>
    <w:rsid w:val="008E45C2"/>
    <w:rsid w:val="008E7528"/>
    <w:rsid w:val="00905825"/>
    <w:rsid w:val="00915D68"/>
    <w:rsid w:val="00931EEA"/>
    <w:rsid w:val="00946D49"/>
    <w:rsid w:val="009515BA"/>
    <w:rsid w:val="00954341"/>
    <w:rsid w:val="00961F04"/>
    <w:rsid w:val="009A0BC4"/>
    <w:rsid w:val="009B6C9C"/>
    <w:rsid w:val="009C1218"/>
    <w:rsid w:val="009D09C4"/>
    <w:rsid w:val="009F0A2B"/>
    <w:rsid w:val="00A0432D"/>
    <w:rsid w:val="00A07B27"/>
    <w:rsid w:val="00A35BBF"/>
    <w:rsid w:val="00A41EB6"/>
    <w:rsid w:val="00A428DA"/>
    <w:rsid w:val="00A42B5B"/>
    <w:rsid w:val="00A4684A"/>
    <w:rsid w:val="00A479A0"/>
    <w:rsid w:val="00A731E6"/>
    <w:rsid w:val="00AA400A"/>
    <w:rsid w:val="00AB4ECE"/>
    <w:rsid w:val="00AF77C5"/>
    <w:rsid w:val="00B02942"/>
    <w:rsid w:val="00B03616"/>
    <w:rsid w:val="00B0665D"/>
    <w:rsid w:val="00B23A11"/>
    <w:rsid w:val="00B439CB"/>
    <w:rsid w:val="00B46DED"/>
    <w:rsid w:val="00B518D4"/>
    <w:rsid w:val="00B51FB5"/>
    <w:rsid w:val="00B662F7"/>
    <w:rsid w:val="00B66F1D"/>
    <w:rsid w:val="00B76549"/>
    <w:rsid w:val="00B901B4"/>
    <w:rsid w:val="00BA430A"/>
    <w:rsid w:val="00BA6202"/>
    <w:rsid w:val="00BB7846"/>
    <w:rsid w:val="00BC784B"/>
    <w:rsid w:val="00BD3079"/>
    <w:rsid w:val="00BD3FC3"/>
    <w:rsid w:val="00BE505D"/>
    <w:rsid w:val="00BF31F7"/>
    <w:rsid w:val="00C164C6"/>
    <w:rsid w:val="00C24D36"/>
    <w:rsid w:val="00C41BCD"/>
    <w:rsid w:val="00C659F8"/>
    <w:rsid w:val="00C7107C"/>
    <w:rsid w:val="00C86388"/>
    <w:rsid w:val="00C92989"/>
    <w:rsid w:val="00CB0012"/>
    <w:rsid w:val="00CE0D06"/>
    <w:rsid w:val="00CF0103"/>
    <w:rsid w:val="00D1154F"/>
    <w:rsid w:val="00D30DFC"/>
    <w:rsid w:val="00D34EBB"/>
    <w:rsid w:val="00D35BE4"/>
    <w:rsid w:val="00D4058C"/>
    <w:rsid w:val="00D52DA1"/>
    <w:rsid w:val="00D829FF"/>
    <w:rsid w:val="00DA2376"/>
    <w:rsid w:val="00DC7123"/>
    <w:rsid w:val="00DD073D"/>
    <w:rsid w:val="00DE21F3"/>
    <w:rsid w:val="00DE6B74"/>
    <w:rsid w:val="00DF0848"/>
    <w:rsid w:val="00DF2040"/>
    <w:rsid w:val="00E11623"/>
    <w:rsid w:val="00E16CD2"/>
    <w:rsid w:val="00E27DD7"/>
    <w:rsid w:val="00E33E07"/>
    <w:rsid w:val="00E36E9E"/>
    <w:rsid w:val="00E57ACB"/>
    <w:rsid w:val="00E62952"/>
    <w:rsid w:val="00E83E50"/>
    <w:rsid w:val="00E86038"/>
    <w:rsid w:val="00EA3DD3"/>
    <w:rsid w:val="00EB72AB"/>
    <w:rsid w:val="00EB7677"/>
    <w:rsid w:val="00EF33A2"/>
    <w:rsid w:val="00F00D4E"/>
    <w:rsid w:val="00F0454E"/>
    <w:rsid w:val="00F070C1"/>
    <w:rsid w:val="00F16773"/>
    <w:rsid w:val="00F200D0"/>
    <w:rsid w:val="00F20FB8"/>
    <w:rsid w:val="00F455AD"/>
    <w:rsid w:val="00F544EB"/>
    <w:rsid w:val="00F62AEB"/>
    <w:rsid w:val="00F64BF0"/>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4:docId w14:val="30D58073"/>
  <w15:chartTrackingRefBased/>
  <w15:docId w15:val="{E57C1F44-550B-463E-B9AF-DCAB8CFD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579BF"/>
    <w:rPr>
      <w:color w:val="0000FF"/>
      <w:u w:val="single"/>
    </w:rPr>
  </w:style>
  <w:style w:type="character" w:styleId="FollowedHyperlink">
    <w:name w:val="FollowedHyperlink"/>
    <w:basedOn w:val="DefaultParagraphFont"/>
    <w:rsid w:val="00295C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rae.org/standards-research--technology/standards-addenda" TargetMode="External"/><Relationship Id="rId13" Type="http://schemas.openxmlformats.org/officeDocument/2006/relationships/hyperlink" Target="http://tc0201.ashraetcs.org/" TargetMode="External"/><Relationship Id="rId3" Type="http://schemas.openxmlformats.org/officeDocument/2006/relationships/webSettings" Target="webSettings.xml"/><Relationship Id="rId7" Type="http://schemas.openxmlformats.org/officeDocument/2006/relationships/hyperlink" Target="https://www.techstreet.com/ashrae/standards/ashrae-55-2020?product_id=2207271" TargetMode="External"/><Relationship Id="rId12" Type="http://schemas.openxmlformats.org/officeDocument/2006/relationships/hyperlink" Target="https://www.techstreet.com/ashrae/standards/f09-thermal-comfort-i-p?product_id=222568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shrae.org" TargetMode="External"/><Relationship Id="rId11" Type="http://schemas.openxmlformats.org/officeDocument/2006/relationships/hyperlink" Target="https://www.techstreet.com/ashrae/standards/2021-ashrae-handbook-fundamentals-i-p?product_id=2224991" TargetMode="External"/><Relationship Id="rId5" Type="http://schemas.openxmlformats.org/officeDocument/2006/relationships/hyperlink" Target="https://www.techstreet.com/ashrae/standards/ashrae-62-1-2022?product_id=2501063" TargetMode="External"/><Relationship Id="rId15" Type="http://schemas.openxmlformats.org/officeDocument/2006/relationships/hyperlink" Target="http://tc0511.ashraetcs.org/" TargetMode="External"/><Relationship Id="rId10" Type="http://schemas.openxmlformats.org/officeDocument/2006/relationships/hyperlink" Target="http://www.ashrae.org/standards-research--technology/standards-addenda" TargetMode="External"/><Relationship Id="rId4" Type="http://schemas.openxmlformats.org/officeDocument/2006/relationships/hyperlink" Target="https://www.techstreet.com/ashrae/standards/ashrae-55-2020?product_id=2207271" TargetMode="External"/><Relationship Id="rId9" Type="http://schemas.openxmlformats.org/officeDocument/2006/relationships/hyperlink" Target="https://www.techstreet.com/ashrae/standards/ashrae-62-1-2022?product_id=2501063" TargetMode="External"/><Relationship Id="rId14" Type="http://schemas.openxmlformats.org/officeDocument/2006/relationships/hyperlink" Target="http://tc0403.ashraet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2793</CharactersWithSpaces>
  <SharedDoc>false</SharedDoc>
  <HLinks>
    <vt:vector size="72" baseType="variant">
      <vt:variant>
        <vt:i4>3932206</vt:i4>
      </vt:variant>
      <vt:variant>
        <vt:i4>33</vt:i4>
      </vt:variant>
      <vt:variant>
        <vt:i4>0</vt:i4>
      </vt:variant>
      <vt:variant>
        <vt:i4>5</vt:i4>
      </vt:variant>
      <vt:variant>
        <vt:lpwstr>http://tc511.ashraetcs.org/</vt:lpwstr>
      </vt:variant>
      <vt:variant>
        <vt:lpwstr/>
      </vt:variant>
      <vt:variant>
        <vt:i4>3211326</vt:i4>
      </vt:variant>
      <vt:variant>
        <vt:i4>30</vt:i4>
      </vt:variant>
      <vt:variant>
        <vt:i4>0</vt:i4>
      </vt:variant>
      <vt:variant>
        <vt:i4>5</vt:i4>
      </vt:variant>
      <vt:variant>
        <vt:lpwstr>http://tc43.ashraetcs.org/</vt:lpwstr>
      </vt:variant>
      <vt:variant>
        <vt:lpwstr/>
      </vt:variant>
      <vt:variant>
        <vt:i4>3604540</vt:i4>
      </vt:variant>
      <vt:variant>
        <vt:i4>27</vt:i4>
      </vt:variant>
      <vt:variant>
        <vt:i4>0</vt:i4>
      </vt:variant>
      <vt:variant>
        <vt:i4>5</vt:i4>
      </vt:variant>
      <vt:variant>
        <vt:lpwstr>http://tc21.ashraetcs.org/</vt:lpwstr>
      </vt:variant>
      <vt:variant>
        <vt:lpwstr/>
      </vt:variant>
      <vt:variant>
        <vt:i4>2031672</vt:i4>
      </vt:variant>
      <vt:variant>
        <vt:i4>24</vt:i4>
      </vt:variant>
      <vt:variant>
        <vt:i4>0</vt:i4>
      </vt:variant>
      <vt:variant>
        <vt:i4>5</vt:i4>
      </vt:variant>
      <vt:variant>
        <vt:lpwstr>http://www.techstreet.com/standards/ashrae/f09_2009_i_p_?product_id=1651429</vt:lpwstr>
      </vt:variant>
      <vt:variant>
        <vt:lpwstr/>
      </vt:variant>
      <vt:variant>
        <vt:i4>3014664</vt:i4>
      </vt:variant>
      <vt:variant>
        <vt:i4>21</vt:i4>
      </vt:variant>
      <vt:variant>
        <vt:i4>0</vt:i4>
      </vt:variant>
      <vt:variant>
        <vt:i4>5</vt:i4>
      </vt:variant>
      <vt:variant>
        <vt:lpwstr>http://www.techstreet.com/cgi-bin/detail?product_id=1626368</vt:lpwstr>
      </vt:variant>
      <vt:variant>
        <vt:lpwstr/>
      </vt:variant>
      <vt:variant>
        <vt:i4>3932271</vt:i4>
      </vt:variant>
      <vt:variant>
        <vt:i4>18</vt:i4>
      </vt:variant>
      <vt:variant>
        <vt:i4>0</vt:i4>
      </vt:variant>
      <vt:variant>
        <vt:i4>5</vt:i4>
      </vt:variant>
      <vt:variant>
        <vt:lpwstr>http://www.ashrae.org/standards-research--technology/standards-addenda</vt:lpwstr>
      </vt:variant>
      <vt:variant>
        <vt:lpwstr/>
      </vt:variant>
      <vt:variant>
        <vt:i4>2162765</vt:i4>
      </vt:variant>
      <vt:variant>
        <vt:i4>15</vt:i4>
      </vt:variant>
      <vt:variant>
        <vt:i4>0</vt:i4>
      </vt:variant>
      <vt:variant>
        <vt:i4>5</vt:i4>
      </vt:variant>
      <vt:variant>
        <vt:lpwstr>http://www.techstreet.com/standards/ashrae/62_1_2010?product_id=1720986</vt:lpwstr>
      </vt:variant>
      <vt:variant>
        <vt:lpwstr/>
      </vt:variant>
      <vt:variant>
        <vt:i4>3932271</vt:i4>
      </vt:variant>
      <vt:variant>
        <vt:i4>12</vt:i4>
      </vt:variant>
      <vt:variant>
        <vt:i4>0</vt:i4>
      </vt:variant>
      <vt:variant>
        <vt:i4>5</vt:i4>
      </vt:variant>
      <vt:variant>
        <vt:lpwstr>http://www.ashrae.org/standards-research--technology/standards-addenda</vt:lpwstr>
      </vt:variant>
      <vt:variant>
        <vt:lpwstr/>
      </vt:variant>
      <vt:variant>
        <vt:i4>7340146</vt:i4>
      </vt:variant>
      <vt:variant>
        <vt:i4>9</vt:i4>
      </vt:variant>
      <vt:variant>
        <vt:i4>0</vt:i4>
      </vt:variant>
      <vt:variant>
        <vt:i4>5</vt:i4>
      </vt:variant>
      <vt:variant>
        <vt:lpwstr>http://www.techstreet.com/standards/ashrae/55_2010?product_id=1741646</vt:lpwstr>
      </vt:variant>
      <vt:variant>
        <vt:lpwstr/>
      </vt:variant>
      <vt:variant>
        <vt:i4>3145788</vt:i4>
      </vt:variant>
      <vt:variant>
        <vt:i4>6</vt:i4>
      </vt:variant>
      <vt:variant>
        <vt:i4>0</vt:i4>
      </vt:variant>
      <vt:variant>
        <vt:i4>5</vt:i4>
      </vt:variant>
      <vt:variant>
        <vt:lpwstr>http://www.ashrae.org/</vt:lpwstr>
      </vt:variant>
      <vt:variant>
        <vt:lpwstr/>
      </vt:variant>
      <vt:variant>
        <vt:i4>2162765</vt:i4>
      </vt:variant>
      <vt:variant>
        <vt:i4>3</vt:i4>
      </vt:variant>
      <vt:variant>
        <vt:i4>0</vt:i4>
      </vt:variant>
      <vt:variant>
        <vt:i4>5</vt:i4>
      </vt:variant>
      <vt:variant>
        <vt:lpwstr>http://www.techstreet.com/standards/ashrae/62_1_2010?product_id=1720986</vt:lpwstr>
      </vt:variant>
      <vt:variant>
        <vt:lpwstr/>
      </vt:variant>
      <vt:variant>
        <vt:i4>7340146</vt:i4>
      </vt:variant>
      <vt:variant>
        <vt:i4>0</vt:i4>
      </vt:variant>
      <vt:variant>
        <vt:i4>0</vt:i4>
      </vt:variant>
      <vt:variant>
        <vt:i4>5</vt:i4>
      </vt:variant>
      <vt:variant>
        <vt:lpwstr>http://www.techstreet.com/standards/ashrae/55_2010?product_id=1741646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5</cp:revision>
  <cp:lastPrinted>2014-05-27T13:22:00Z</cp:lastPrinted>
  <dcterms:created xsi:type="dcterms:W3CDTF">2014-05-27T13:22:00Z</dcterms:created>
  <dcterms:modified xsi:type="dcterms:W3CDTF">2023-10-20T02:24:00Z</dcterms:modified>
</cp:coreProperties>
</file>