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4"/>
        <w:gridCol w:w="6"/>
      </w:tblGrid>
      <w:tr w:rsidR="00B26F66" w14:paraId="2F8A0C63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69A30F2C" w14:textId="77777777" w:rsidR="00B26F66" w:rsidRDefault="00B26F66">
            <w:pPr>
              <w:pStyle w:val="Heading3"/>
            </w:pPr>
            <w:r>
              <w:t>ASHRAE Technical FAQ</w:t>
            </w:r>
          </w:p>
        </w:tc>
      </w:tr>
      <w:tr w:rsidR="00B26F66" w14:paraId="7F4742CC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73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8"/>
              <w:gridCol w:w="691"/>
              <w:gridCol w:w="745"/>
            </w:tblGrid>
            <w:tr w:rsidR="00B26F66" w14:paraId="40B063D0" w14:textId="77777777" w:rsidTr="00506DF8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5E0A000A" w14:textId="77777777" w:rsidR="00B26F66" w:rsidRDefault="005E1480">
                  <w:r>
                    <w:pict w14:anchorId="3C0336D7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B26F66" w14:paraId="1163BEF3" w14:textId="77777777" w:rsidTr="00506DF8">
              <w:trPr>
                <w:gridAfter w:val="1"/>
                <w:wAfter w:w="347" w:type="pct"/>
                <w:trHeight w:val="102"/>
                <w:tblCellSpacing w:w="0" w:type="dxa"/>
              </w:trPr>
              <w:tc>
                <w:tcPr>
                  <w:tcW w:w="922" w:type="pct"/>
                  <w:vAlign w:val="center"/>
                </w:tcPr>
                <w:p w14:paraId="49F1F6C8" w14:textId="77777777" w:rsidR="00B26F66" w:rsidRDefault="00B26F66">
                  <w:r>
                    <w:t xml:space="preserve">ID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629536CA" w14:textId="77777777" w:rsidR="00B26F66" w:rsidRDefault="00525829" w:rsidP="000D0346">
                  <w:r>
                    <w:t>9</w:t>
                  </w:r>
                  <w:r w:rsidR="000D0346">
                    <w:t>8</w:t>
                  </w:r>
                </w:p>
              </w:tc>
            </w:tr>
            <w:tr w:rsidR="00B26F66" w14:paraId="52B1B71D" w14:textId="77777777" w:rsidTr="00506DF8">
              <w:trPr>
                <w:gridAfter w:val="1"/>
                <w:wAfter w:w="347" w:type="pct"/>
                <w:trHeight w:val="102"/>
                <w:tblCellSpacing w:w="0" w:type="dxa"/>
              </w:trPr>
              <w:tc>
                <w:tcPr>
                  <w:tcW w:w="4653" w:type="pct"/>
                  <w:gridSpan w:val="3"/>
                  <w:vAlign w:val="center"/>
                </w:tcPr>
                <w:p w14:paraId="3AA12268" w14:textId="77777777" w:rsidR="00B26F66" w:rsidRPr="001F1042" w:rsidRDefault="005E1480">
                  <w:r>
                    <w:pict w14:anchorId="625BA48E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B26F66" w14:paraId="4C96019F" w14:textId="77777777" w:rsidTr="00506DF8">
              <w:trPr>
                <w:gridAfter w:val="1"/>
                <w:wAfter w:w="347" w:type="pct"/>
                <w:trHeight w:val="699"/>
                <w:tblCellSpacing w:w="0" w:type="dxa"/>
              </w:trPr>
              <w:tc>
                <w:tcPr>
                  <w:tcW w:w="922" w:type="pct"/>
                  <w:vAlign w:val="center"/>
                </w:tcPr>
                <w:p w14:paraId="06CAAA62" w14:textId="77777777" w:rsidR="00B26F66" w:rsidRPr="001F1042" w:rsidRDefault="00B26F66">
                  <w:r w:rsidRPr="001F1042">
                    <w:t xml:space="preserve">Question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27F712B9" w14:textId="77777777" w:rsidR="00B26F66" w:rsidRPr="001F1042" w:rsidRDefault="000D0346" w:rsidP="00B044DC">
                  <w:r>
                    <w:t xml:space="preserve">Can HVAC </w:t>
                  </w:r>
                  <w:r w:rsidR="00B044DC">
                    <w:t xml:space="preserve">systems and indoor environmental quality </w:t>
                  </w:r>
                  <w:r>
                    <w:t xml:space="preserve">have an effect on student performance in schools? </w:t>
                  </w:r>
                  <w:r w:rsidR="003B1CE9" w:rsidRPr="003B1CE9">
                    <w:t xml:space="preserve"> </w:t>
                  </w:r>
                </w:p>
              </w:tc>
            </w:tr>
            <w:tr w:rsidR="00B26F66" w14:paraId="0A6BD351" w14:textId="77777777" w:rsidTr="00506DF8">
              <w:trPr>
                <w:gridAfter w:val="1"/>
                <w:wAfter w:w="347" w:type="pct"/>
                <w:trHeight w:val="102"/>
                <w:tblCellSpacing w:w="0" w:type="dxa"/>
              </w:trPr>
              <w:tc>
                <w:tcPr>
                  <w:tcW w:w="4653" w:type="pct"/>
                  <w:gridSpan w:val="3"/>
                  <w:vAlign w:val="center"/>
                </w:tcPr>
                <w:p w14:paraId="31C9165E" w14:textId="77777777" w:rsidR="00B26F66" w:rsidRPr="001F1042" w:rsidRDefault="005E1480">
                  <w:r>
                    <w:pict w14:anchorId="70C4BC3E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B26F66" w14:paraId="68E1540D" w14:textId="77777777" w:rsidTr="00506DF8">
              <w:trPr>
                <w:gridAfter w:val="1"/>
                <w:wAfter w:w="347" w:type="pct"/>
                <w:trHeight w:val="2661"/>
                <w:tblCellSpacing w:w="0" w:type="dxa"/>
              </w:trPr>
              <w:tc>
                <w:tcPr>
                  <w:tcW w:w="922" w:type="pct"/>
                  <w:vAlign w:val="center"/>
                </w:tcPr>
                <w:p w14:paraId="6596829F" w14:textId="77777777" w:rsidR="00B26F66" w:rsidRPr="000A20AB" w:rsidRDefault="00B26F66">
                  <w:r w:rsidRPr="000A20AB">
                    <w:t xml:space="preserve">Answer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5A1DF071" w14:textId="77777777" w:rsidR="00506DF8" w:rsidRDefault="00506DF8" w:rsidP="00506DF8">
                  <w:pPr>
                    <w:rPr>
                      <w:color w:val="000000"/>
                    </w:rPr>
                  </w:pPr>
                  <w:r w:rsidRPr="00EE1143">
                    <w:t xml:space="preserve">A number of other books and technical papers available at </w:t>
                  </w:r>
                  <w:hyperlink r:id="rId5" w:history="1">
                    <w:r w:rsidRPr="008D7327">
                      <w:rPr>
                        <w:rStyle w:val="Hyperlink"/>
                      </w:rPr>
                      <w:t>www.ashrae.org/bookstore</w:t>
                    </w:r>
                  </w:hyperlink>
                  <w:r w:rsidRPr="00EE1143">
                    <w:t xml:space="preserve"> address </w:t>
                  </w:r>
                  <w:r>
                    <w:t xml:space="preserve">the topic. </w:t>
                  </w:r>
                  <w:r w:rsidRPr="00BE6C32">
                    <w:rPr>
                      <w:color w:val="000000"/>
                    </w:rPr>
                    <w:t xml:space="preserve">You may benefit from performing a keyword search </w:t>
                  </w:r>
                  <w:r w:rsidR="001F48C6">
                    <w:rPr>
                      <w:color w:val="000000"/>
                    </w:rPr>
                    <w:t xml:space="preserve">of </w:t>
                  </w:r>
                  <w:r>
                    <w:rPr>
                      <w:color w:val="000000"/>
                    </w:rPr>
                    <w:t xml:space="preserve">ASHRAE </w:t>
                  </w:r>
                  <w:r w:rsidRPr="00BE6C32">
                    <w:rPr>
                      <w:color w:val="000000"/>
                    </w:rPr>
                    <w:t xml:space="preserve">technical papers and proceedings from ASHRAE Meetings and Conferences, magazine articles, handbook chapters, standards, and other literature published by or available through ASHRAE. </w:t>
                  </w:r>
                  <w:r>
                    <w:rPr>
                      <w:color w:val="000000"/>
                    </w:rPr>
                    <w:t xml:space="preserve"> The following bookstore publications are related to indoor environmental quality and student performance in schools:</w:t>
                  </w:r>
                </w:p>
                <w:p w14:paraId="499E015B" w14:textId="77777777" w:rsidR="00506DF8" w:rsidRDefault="00506DF8" w:rsidP="00AB64D7">
                  <w:pPr>
                    <w:rPr>
                      <w:color w:val="000000"/>
                    </w:rPr>
                  </w:pPr>
                </w:p>
                <w:p w14:paraId="4DA6E5E3" w14:textId="77777777" w:rsidR="00435919" w:rsidRPr="00435919" w:rsidRDefault="005E1480" w:rsidP="00435919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rPr>
                      <w:rStyle w:val="Hyperlink"/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r w:rsidR="00435919" w:rsidRPr="00435919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The Effects of Ventilation on Indoor Air Quality in Schools</w:t>
                    </w:r>
                  </w:hyperlink>
                </w:p>
                <w:p w14:paraId="16CE098A" w14:textId="77777777" w:rsidR="00435919" w:rsidRPr="00435919" w:rsidRDefault="005E1480" w:rsidP="00435919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rPr>
                      <w:rStyle w:val="Hyperlink"/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r w:rsidR="00435919" w:rsidRPr="00435919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Nearly Zero Energy Schools: Their Systems, Energy Use and Perceived Indoor Air Quality</w:t>
                    </w:r>
                  </w:hyperlink>
                </w:p>
                <w:p w14:paraId="79509EF6" w14:textId="77777777" w:rsidR="00435919" w:rsidRDefault="00435919" w:rsidP="00435919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rPr>
                      <w:rStyle w:val="Hyperlink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919">
                    <w:rPr>
                      <w:rStyle w:val="Hyperlink"/>
                      <w:rFonts w:ascii="Times New Roman" w:hAnsi="Times New Roman" w:cs="Times New Roman"/>
                      <w:sz w:val="24"/>
                      <w:szCs w:val="24"/>
                    </w:rPr>
                    <w:t>Technical and Economic Assessment of a Danish Public School Energy Renovation using Dynamic Energy Performance Model</w:t>
                  </w:r>
                </w:p>
                <w:p w14:paraId="24EF4D89" w14:textId="77777777" w:rsidR="00435919" w:rsidRDefault="005E1480" w:rsidP="00435919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rPr>
                      <w:color w:val="7DBA00"/>
                      <w:sz w:val="27"/>
                      <w:szCs w:val="27"/>
                    </w:rPr>
                  </w:pPr>
                  <w:hyperlink r:id="rId8" w:history="1">
                    <w:r w:rsidR="00435919" w:rsidRPr="00435919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IEQ Applications: Changes in IAQ Caused by Corona Discharge Air Cleaner</w:t>
                    </w:r>
                  </w:hyperlink>
                </w:p>
                <w:p w14:paraId="0B7E5884" w14:textId="77777777" w:rsidR="00A70EC9" w:rsidRPr="00435919" w:rsidRDefault="00435919" w:rsidP="005E6A9F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9" w:history="1">
                    <w:r w:rsidR="00A70EC9" w:rsidRPr="00435919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Do the Students in High Performance Incentive (HPI) Schools Demonstrate More Academic Improvement than their Peers in Non-HPI Schools?</w:t>
                    </w:r>
                  </w:hyperlink>
                </w:p>
                <w:p w14:paraId="091667F8" w14:textId="77777777" w:rsidR="007F01EC" w:rsidRDefault="005E1480" w:rsidP="001F48C6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0" w:history="1">
                    <w:r w:rsidR="007F01EC" w:rsidRPr="007F01EC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Optimizing Classroom Ventilation Rates: Impact of Substandard Ventilation on Student Academic Achievement</w:t>
                    </w:r>
                  </w:hyperlink>
                </w:p>
                <w:p w14:paraId="3B9F486C" w14:textId="77777777" w:rsidR="007F01EC" w:rsidRDefault="005E1480" w:rsidP="001F48C6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1" w:history="1">
                    <w:r w:rsidR="007F01EC" w:rsidRPr="007F01EC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Low Carbon vs. Victorian School Design: IAQ, Energy and Health Responses</w:t>
                    </w:r>
                  </w:hyperlink>
                </w:p>
                <w:p w14:paraId="68AA1AF8" w14:textId="77777777" w:rsidR="001579B8" w:rsidRDefault="005E1480" w:rsidP="001F48C6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2" w:history="1">
                    <w:r w:rsidR="001579B8" w:rsidRPr="001579B8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Indoor Environmental Quality in Schools and Academic Performance of Students: Studies from 2004 to Present</w:t>
                    </w:r>
                  </w:hyperlink>
                </w:p>
                <w:p w14:paraId="60D97DB9" w14:textId="77777777" w:rsidR="001579B8" w:rsidRDefault="005E1480" w:rsidP="001F48C6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3" w:history="1">
                    <w:r w:rsidR="001579B8" w:rsidRPr="001579B8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Effects of Noise from Building Mechanical Systems on Elementary School Student Achievement</w:t>
                    </w:r>
                  </w:hyperlink>
                </w:p>
                <w:p w14:paraId="12B9160D" w14:textId="77777777" w:rsidR="007F01EC" w:rsidRDefault="005E1480" w:rsidP="001F48C6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4" w:history="1">
                    <w:r w:rsidR="007F01EC" w:rsidRPr="007F01EC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High Performance School Characteristics</w:t>
                    </w:r>
                  </w:hyperlink>
                  <w:r w:rsidR="007F01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618F9D27" w14:textId="77777777" w:rsidR="00AB64D7" w:rsidRPr="00FE1171" w:rsidRDefault="005E1480" w:rsidP="001F48C6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5" w:history="1">
                    <w:r w:rsidR="00AB64D7" w:rsidRPr="00FE1171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High Performance Schools: High Marks for Energy Efficiency, Humidity Control, Indoor Air Quality &amp; First Cos</w:t>
                    </w:r>
                    <w:r w:rsidR="008435E5" w:rsidRPr="00FE1171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t</w:t>
                    </w:r>
                  </w:hyperlink>
                </w:p>
                <w:p w14:paraId="5D8CD65B" w14:textId="77777777" w:rsidR="00AB64D7" w:rsidRPr="00FE1171" w:rsidRDefault="005E1480" w:rsidP="001F48C6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6" w:history="1">
                    <w:r w:rsidR="00AB64D7" w:rsidRPr="00FE1171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Impact of Ventilation Modifications on Indoor Air Quality Characteristics at an Elementary Schoo</w:t>
                    </w:r>
                    <w:r w:rsidR="008435E5" w:rsidRPr="00FE1171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l</w:t>
                    </w:r>
                  </w:hyperlink>
                </w:p>
                <w:p w14:paraId="7F083E31" w14:textId="77777777" w:rsidR="00AB64D7" w:rsidRPr="00FE1171" w:rsidRDefault="005E1480" w:rsidP="001F48C6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7" w:history="1">
                    <w:r w:rsidR="00AB64D7" w:rsidRPr="00FE1171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Improving Indoor Air Quality Improves the Performance of Office Work and School Work and Provides Economic Benefits</w:t>
                    </w:r>
                  </w:hyperlink>
                </w:p>
                <w:p w14:paraId="7A46D588" w14:textId="77777777" w:rsidR="00AB64D7" w:rsidRPr="00FE1171" w:rsidRDefault="005E1480" w:rsidP="001F48C6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8" w:history="1">
                    <w:r w:rsidR="00AB64D7" w:rsidRPr="00FE1171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A Methodology for Analyzing the Association Between Student Performance and Indoor Air Qualit</w:t>
                    </w:r>
                    <w:r w:rsidR="00B554F4" w:rsidRPr="00FE1171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y</w:t>
                    </w:r>
                  </w:hyperlink>
                </w:p>
                <w:p w14:paraId="0A7ACCCD" w14:textId="77777777" w:rsidR="00AB64D7" w:rsidRPr="00FE1171" w:rsidRDefault="005E1480" w:rsidP="001F48C6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9" w:history="1">
                    <w:r w:rsidR="00AB64D7" w:rsidRPr="00FE1171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Indoor Environmental Quality in Schools and Academic Performance of Students: Studies from 2004 to Presen</w:t>
                    </w:r>
                    <w:r w:rsidR="008435E5" w:rsidRPr="00FE1171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t</w:t>
                    </w:r>
                  </w:hyperlink>
                </w:p>
                <w:p w14:paraId="240F9AD5" w14:textId="77777777" w:rsidR="00AB64D7" w:rsidRPr="00FE1171" w:rsidRDefault="005E1480" w:rsidP="001F48C6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20" w:history="1">
                    <w:r w:rsidR="00AB64D7" w:rsidRPr="00FE1171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The Effects of Moderately Raised Classroom Temperatures and Classroom Ventilation Rate on the Performance of Schoolwork by </w:t>
                    </w:r>
                    <w:r w:rsidR="00AB64D7" w:rsidRPr="00FE1171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lastRenderedPageBreak/>
                      <w:t>Children</w:t>
                    </w:r>
                  </w:hyperlink>
                </w:p>
                <w:p w14:paraId="05B3A65D" w14:textId="77777777" w:rsidR="00AB64D7" w:rsidRPr="00FE1171" w:rsidRDefault="005E1480" w:rsidP="001F48C6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21" w:history="1">
                    <w:r w:rsidR="00AB64D7" w:rsidRPr="00FE1171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The Effects of Electrostatic Particle Filtration and Supply-Air Filter Condition in Classrooms on the Perfor</w:t>
                    </w:r>
                    <w:r w:rsidR="00B554F4" w:rsidRPr="00FE1171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mance of Schoolwork by Children</w:t>
                    </w:r>
                  </w:hyperlink>
                </w:p>
                <w:p w14:paraId="5801EE1D" w14:textId="77777777" w:rsidR="00AB64D7" w:rsidRPr="00FE1171" w:rsidRDefault="005E1480" w:rsidP="001F48C6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22" w:history="1">
                    <w:r w:rsidR="00AB64D7" w:rsidRPr="00FE1171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The Effects of Outdoor Air Supply Rate and Supply Air Filter Condition in Classrooms on the Perform</w:t>
                    </w:r>
                    <w:r w:rsidR="009F5F3C" w:rsidRPr="00FE1171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ance of Schoolwork by Children</w:t>
                    </w:r>
                  </w:hyperlink>
                  <w:r w:rsidR="009F5F3C" w:rsidRPr="00FE11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D18AE71" w14:textId="77777777" w:rsidR="00F33078" w:rsidRPr="00FE1171" w:rsidRDefault="005E1480" w:rsidP="001F48C6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23" w:history="1">
                    <w:r w:rsidR="00F33078" w:rsidRPr="00FE1171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Research Report: Effects of HVAC on Student Performance</w:t>
                    </w:r>
                  </w:hyperlink>
                </w:p>
                <w:p w14:paraId="16E91213" w14:textId="77777777" w:rsidR="00541223" w:rsidRPr="00FE1171" w:rsidRDefault="005E1480" w:rsidP="001F48C6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rPr>
                      <w:rStyle w:val="Hyperlink"/>
                      <w:rFonts w:ascii="Times New Roman" w:hAnsi="Times New Roman" w:cs="Times New Roman"/>
                      <w:color w:val="000000"/>
                      <w:sz w:val="24"/>
                      <w:szCs w:val="24"/>
                      <w:u w:val="none"/>
                    </w:rPr>
                  </w:pPr>
                  <w:hyperlink r:id="rId24" w:history="1">
                    <w:r w:rsidR="00541223" w:rsidRPr="00FE1171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Acoustical Case Studies of HVAC Systems in Schools</w:t>
                    </w:r>
                  </w:hyperlink>
                </w:p>
                <w:p w14:paraId="06672165" w14:textId="77777777" w:rsidR="00F33078" w:rsidRPr="00FE1171" w:rsidRDefault="00541223" w:rsidP="001F48C6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171">
                    <w:rPr>
                      <w:rStyle w:val="Hyperlink"/>
                      <w:rFonts w:ascii="Times New Roman" w:hAnsi="Times New Roman" w:cs="Times New Roman"/>
                      <w:color w:val="000000"/>
                      <w:sz w:val="24"/>
                      <w:szCs w:val="24"/>
                      <w:u w:val="none"/>
                    </w:rPr>
                    <w:t xml:space="preserve"> </w:t>
                  </w:r>
                  <w:hyperlink r:id="rId25" w:history="1">
                    <w:r w:rsidRPr="00FE1171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RP-1257 -- Indoor Environmental Effects On The Performance Of School Work By Children</w:t>
                    </w:r>
                  </w:hyperlink>
                </w:p>
                <w:p w14:paraId="3D78E5E6" w14:textId="77777777" w:rsidR="00D277CC" w:rsidRPr="00BC106F" w:rsidRDefault="00D277CC" w:rsidP="00D277CC">
                  <w:pPr>
                    <w:pStyle w:val="ListParagraph"/>
                    <w:rPr>
                      <w:rFonts w:ascii="Times New Roman" w:hAnsi="Times New Roman" w:cs="Times New Roman"/>
                      <w:color w:val="1F497D"/>
                      <w:sz w:val="24"/>
                      <w:szCs w:val="24"/>
                    </w:rPr>
                  </w:pPr>
                </w:p>
                <w:p w14:paraId="621889F6" w14:textId="77777777" w:rsidR="00506DF8" w:rsidRPr="00506DF8" w:rsidRDefault="00506DF8" w:rsidP="00506DF8">
                  <w:pPr>
                    <w:rPr>
                      <w:color w:val="000000"/>
                    </w:rPr>
                  </w:pPr>
                  <w:r w:rsidRPr="00B06066">
                    <w:rPr>
                      <w:color w:val="000000"/>
                    </w:rPr>
                    <w:t xml:space="preserve">The May </w:t>
                  </w:r>
                  <w:hyperlink r:id="rId26" w:history="1">
                    <w:r w:rsidR="00B06066" w:rsidRPr="00B06066">
                      <w:rPr>
                        <w:rStyle w:val="Hyperlink"/>
                      </w:rPr>
                      <w:t>ASHRAE Journal</w:t>
                    </w:r>
                  </w:hyperlink>
                  <w:r w:rsidR="00B06066" w:rsidRPr="00B06066">
                    <w:rPr>
                      <w:color w:val="000000"/>
                    </w:rPr>
                    <w:t xml:space="preserve"> </w:t>
                  </w:r>
                  <w:r w:rsidRPr="00B06066">
                    <w:rPr>
                      <w:color w:val="000000"/>
                    </w:rPr>
                    <w:t>from the last few years has featured articles on school HVAC.</w:t>
                  </w:r>
                  <w:r w:rsidRPr="00506DF8">
                    <w:rPr>
                      <w:color w:val="000000"/>
                    </w:rPr>
                    <w:t xml:space="preserve"> </w:t>
                  </w:r>
                </w:p>
                <w:p w14:paraId="6271814D" w14:textId="77777777" w:rsidR="00506DF8" w:rsidRPr="00506DF8" w:rsidRDefault="00506DF8" w:rsidP="00D277CC"/>
                <w:p w14:paraId="377A4622" w14:textId="77777777" w:rsidR="00F679E6" w:rsidRPr="00BC106F" w:rsidRDefault="00D277CC" w:rsidP="00D277CC">
                  <w:pPr>
                    <w:rPr>
                      <w:color w:val="000000"/>
                    </w:rPr>
                  </w:pPr>
                  <w:r w:rsidRPr="00506DF8">
                    <w:t>ASHRAE</w:t>
                  </w:r>
                  <w:r>
                    <w:t xml:space="preserve"> technical papers and all ASHRAE publications may be purchased and downloaded on-line at our website, </w:t>
                  </w:r>
                  <w:hyperlink r:id="rId27" w:history="1">
                    <w:hyperlink r:id="rId28" w:history="1">
                      <w:r w:rsidRPr="00B26F66">
                        <w:rPr>
                          <w:rStyle w:val="Hyperlink"/>
                        </w:rPr>
                        <w:t>www.ashrae.org</w:t>
                      </w:r>
                    </w:hyperlink>
                  </w:hyperlink>
                  <w:r>
                    <w:t xml:space="preserve"> or by calling 1-800-527-4723 in the USA and Canada or 1-404-636-8400 worldwide.</w:t>
                  </w:r>
                </w:p>
              </w:tc>
            </w:tr>
            <w:tr w:rsidR="00B26F66" w14:paraId="03CD3E10" w14:textId="77777777" w:rsidTr="00506DF8">
              <w:trPr>
                <w:gridAfter w:val="1"/>
                <w:wAfter w:w="347" w:type="pct"/>
                <w:trHeight w:val="212"/>
                <w:tblCellSpacing w:w="0" w:type="dxa"/>
              </w:trPr>
              <w:tc>
                <w:tcPr>
                  <w:tcW w:w="4653" w:type="pct"/>
                  <w:gridSpan w:val="3"/>
                  <w:vAlign w:val="center"/>
                </w:tcPr>
                <w:p w14:paraId="27625E6D" w14:textId="77777777" w:rsidR="00B26F66" w:rsidRPr="001F1042" w:rsidRDefault="005E1480">
                  <w:r>
                    <w:lastRenderedPageBreak/>
                    <w:pict w14:anchorId="46767C80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B26F66" w14:paraId="54B145E2" w14:textId="77777777" w:rsidTr="00506DF8">
              <w:trPr>
                <w:gridAfter w:val="1"/>
                <w:wAfter w:w="347" w:type="pct"/>
                <w:trHeight w:val="396"/>
                <w:tblCellSpacing w:w="0" w:type="dxa"/>
              </w:trPr>
              <w:tc>
                <w:tcPr>
                  <w:tcW w:w="922" w:type="pct"/>
                  <w:vAlign w:val="center"/>
                </w:tcPr>
                <w:p w14:paraId="73D2A3B5" w14:textId="77777777" w:rsidR="00B26F66" w:rsidRPr="001F1042" w:rsidRDefault="00B26F66">
                  <w:r w:rsidRPr="001F1042">
                    <w:t xml:space="preserve">ASHRAE Pubs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72DF43EC" w14:textId="77777777" w:rsidR="000D0346" w:rsidRPr="00B555CD" w:rsidRDefault="000D0346">
                  <w:pPr>
                    <w:rPr>
                      <w:color w:val="000000"/>
                    </w:rPr>
                  </w:pPr>
                </w:p>
                <w:p w14:paraId="7A3DA799" w14:textId="4FF5CF2C" w:rsidR="00D277CC" w:rsidRPr="00B555CD" w:rsidRDefault="005E1480">
                  <w:hyperlink r:id="rId29" w:history="1">
                    <w:r w:rsidR="00D277CC" w:rsidRPr="00B555CD">
                      <w:rPr>
                        <w:rStyle w:val="Hyperlink"/>
                      </w:rPr>
                      <w:t>20</w:t>
                    </w:r>
                    <w:r w:rsidR="00746BF9">
                      <w:rPr>
                        <w:rStyle w:val="Hyperlink"/>
                      </w:rPr>
                      <w:t>23</w:t>
                    </w:r>
                    <w:r w:rsidR="00D277CC" w:rsidRPr="00B555CD">
                      <w:rPr>
                        <w:rStyle w:val="Hyperlink"/>
                      </w:rPr>
                      <w:t xml:space="preserve"> ASHRAE Handbook - HVAC Applications</w:t>
                    </w:r>
                  </w:hyperlink>
                  <w:r w:rsidR="00D277CC" w:rsidRPr="00B555CD">
                    <w:t xml:space="preserve">, </w:t>
                  </w:r>
                  <w:hyperlink r:id="rId30" w:history="1">
                    <w:r w:rsidR="00D277CC" w:rsidRPr="00B555CD">
                      <w:rPr>
                        <w:rStyle w:val="Hyperlink"/>
                      </w:rPr>
                      <w:t>Chapter A0</w:t>
                    </w:r>
                    <w:r w:rsidR="00746BF9">
                      <w:rPr>
                        <w:rStyle w:val="Hyperlink"/>
                      </w:rPr>
                      <w:t>8</w:t>
                    </w:r>
                  </w:hyperlink>
                </w:p>
                <w:p w14:paraId="2A5383F5" w14:textId="77777777" w:rsidR="00D277CC" w:rsidRPr="00B555CD" w:rsidRDefault="00D277CC">
                  <w:pPr>
                    <w:rPr>
                      <w:color w:val="000000"/>
                    </w:rPr>
                  </w:pPr>
                </w:p>
                <w:p w14:paraId="60FA0CB8" w14:textId="0BED2B51" w:rsidR="007B5F25" w:rsidRPr="00B555CD" w:rsidRDefault="005E1480">
                  <w:pPr>
                    <w:rPr>
                      <w:color w:val="000000"/>
                    </w:rPr>
                  </w:pPr>
                  <w:hyperlink r:id="rId31" w:history="1">
                    <w:r w:rsidR="00B06066" w:rsidRPr="00B555CD">
                      <w:rPr>
                        <w:rStyle w:val="Hyperlink"/>
                      </w:rPr>
                      <w:t>ASHRAE Standard 62.1-20</w:t>
                    </w:r>
                    <w:r w:rsidR="00746BF9">
                      <w:rPr>
                        <w:rStyle w:val="Hyperlink"/>
                      </w:rPr>
                      <w:t>22</w:t>
                    </w:r>
                  </w:hyperlink>
                  <w:r w:rsidR="00B06066" w:rsidRPr="00B555CD">
                    <w:rPr>
                      <w:color w:val="000000"/>
                    </w:rPr>
                    <w:t xml:space="preserve"> </w:t>
                  </w:r>
                  <w:r w:rsidR="00F679E6" w:rsidRPr="00B555CD">
                    <w:rPr>
                      <w:color w:val="000000"/>
                    </w:rPr>
                    <w:t xml:space="preserve">plus </w:t>
                  </w:r>
                  <w:hyperlink r:id="rId32" w:history="1">
                    <w:r w:rsidR="00B06066" w:rsidRPr="00B555CD">
                      <w:rPr>
                        <w:rStyle w:val="Hyperlink"/>
                      </w:rPr>
                      <w:t>ASHRAE BOD approved addenda</w:t>
                    </w:r>
                  </w:hyperlink>
                  <w:r w:rsidR="00B06066" w:rsidRPr="00B555CD">
                    <w:rPr>
                      <w:color w:val="000000"/>
                    </w:rPr>
                    <w:t>.</w:t>
                  </w:r>
                </w:p>
                <w:p w14:paraId="73C6C9F4" w14:textId="77777777" w:rsidR="00F679E6" w:rsidRPr="00B555CD" w:rsidRDefault="00F679E6"/>
                <w:p w14:paraId="2C3E910D" w14:textId="278E2080" w:rsidR="00B044DC" w:rsidRPr="00B555CD" w:rsidRDefault="005E1480" w:rsidP="00B044DC">
                  <w:pPr>
                    <w:rPr>
                      <w:color w:val="000000"/>
                    </w:rPr>
                  </w:pPr>
                  <w:hyperlink r:id="rId33" w:history="1">
                    <w:r w:rsidR="00B044DC" w:rsidRPr="00B555CD">
                      <w:rPr>
                        <w:rStyle w:val="Hyperlink"/>
                      </w:rPr>
                      <w:t>ASHRAE Standard 55-</w:t>
                    </w:r>
                    <w:r w:rsidR="00B06066" w:rsidRPr="00B555CD">
                      <w:rPr>
                        <w:rStyle w:val="Hyperlink"/>
                      </w:rPr>
                      <w:t>20</w:t>
                    </w:r>
                    <w:r w:rsidR="00746BF9">
                      <w:rPr>
                        <w:rStyle w:val="Hyperlink"/>
                      </w:rPr>
                      <w:t>20</w:t>
                    </w:r>
                  </w:hyperlink>
                  <w:r w:rsidR="00B044DC" w:rsidRPr="00B555CD">
                    <w:rPr>
                      <w:color w:val="000000"/>
                    </w:rPr>
                    <w:t xml:space="preserve"> plus </w:t>
                  </w:r>
                  <w:hyperlink r:id="rId34" w:history="1">
                    <w:r w:rsidR="00B044DC" w:rsidRPr="00B555CD">
                      <w:rPr>
                        <w:rStyle w:val="Hyperlink"/>
                      </w:rPr>
                      <w:t>ASHRAE BOD approved addenda</w:t>
                    </w:r>
                  </w:hyperlink>
                  <w:r w:rsidR="00B044DC" w:rsidRPr="00B555CD">
                    <w:rPr>
                      <w:color w:val="000000"/>
                    </w:rPr>
                    <w:t xml:space="preserve">. </w:t>
                  </w:r>
                </w:p>
                <w:p w14:paraId="774F597D" w14:textId="77777777" w:rsidR="00F32B95" w:rsidRPr="00B555CD" w:rsidRDefault="00F32B95" w:rsidP="000D0346"/>
                <w:p w14:paraId="3A291256" w14:textId="77777777" w:rsidR="00BC106F" w:rsidRPr="00B555CD" w:rsidRDefault="005E1480" w:rsidP="00BC106F">
                  <w:hyperlink r:id="rId35" w:history="1">
                    <w:r w:rsidR="00BC106F" w:rsidRPr="00B555CD">
                      <w:rPr>
                        <w:rStyle w:val="Hyperlink"/>
                      </w:rPr>
                      <w:t>1257-RP Final Re</w:t>
                    </w:r>
                    <w:r w:rsidR="00BC106F" w:rsidRPr="00B555CD">
                      <w:rPr>
                        <w:rStyle w:val="Hyperlink"/>
                      </w:rPr>
                      <w:t>port</w:t>
                    </w:r>
                  </w:hyperlink>
                </w:p>
              </w:tc>
            </w:tr>
            <w:tr w:rsidR="00B26F66" w14:paraId="43C43F1D" w14:textId="77777777" w:rsidTr="00506DF8">
              <w:trPr>
                <w:gridAfter w:val="1"/>
                <w:wAfter w:w="347" w:type="pct"/>
                <w:trHeight w:val="198"/>
                <w:tblCellSpacing w:w="0" w:type="dxa"/>
              </w:trPr>
              <w:tc>
                <w:tcPr>
                  <w:tcW w:w="4653" w:type="pct"/>
                  <w:gridSpan w:val="3"/>
                  <w:vAlign w:val="center"/>
                </w:tcPr>
                <w:p w14:paraId="2FD2C45F" w14:textId="77777777" w:rsidR="00B26F66" w:rsidRPr="001F1042" w:rsidRDefault="005E1480">
                  <w:r>
                    <w:pict w14:anchorId="4A931C95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B26F66" w14:paraId="149000F2" w14:textId="77777777" w:rsidTr="00506DF8">
              <w:trPr>
                <w:gridAfter w:val="1"/>
                <w:wAfter w:w="347" w:type="pct"/>
                <w:trHeight w:val="396"/>
                <w:tblCellSpacing w:w="0" w:type="dxa"/>
              </w:trPr>
              <w:tc>
                <w:tcPr>
                  <w:tcW w:w="922" w:type="pct"/>
                  <w:vAlign w:val="center"/>
                </w:tcPr>
                <w:p w14:paraId="5AB603C4" w14:textId="77777777" w:rsidR="00B26F66" w:rsidRPr="001F1042" w:rsidRDefault="00B26F66">
                  <w:r w:rsidRPr="001F1042">
                    <w:t xml:space="preserve">Topic References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13BB53F1" w14:textId="77777777" w:rsidR="00B26F66" w:rsidRPr="001F1042" w:rsidRDefault="00B044DC" w:rsidP="00B044DC">
                  <w:r>
                    <w:rPr>
                      <w:color w:val="000000"/>
                    </w:rPr>
                    <w:t>school</w:t>
                  </w:r>
                  <w:r w:rsidR="000D0346">
                    <w:rPr>
                      <w:color w:val="000000"/>
                    </w:rPr>
                    <w:t xml:space="preserve">, student, </w:t>
                  </w:r>
                  <w:r>
                    <w:rPr>
                      <w:color w:val="000000"/>
                    </w:rPr>
                    <w:t xml:space="preserve">children, </w:t>
                  </w:r>
                  <w:r w:rsidR="000D0346">
                    <w:rPr>
                      <w:color w:val="000000"/>
                    </w:rPr>
                    <w:t>performance, indoor air quality</w:t>
                  </w:r>
                  <w:r>
                    <w:rPr>
                      <w:color w:val="000000"/>
                    </w:rPr>
                    <w:t xml:space="preserve"> (IAQ)</w:t>
                  </w:r>
                  <w:r w:rsidR="000D0346">
                    <w:rPr>
                      <w:color w:val="000000"/>
                    </w:rPr>
                    <w:t>, indoor environmental quality</w:t>
                  </w:r>
                  <w:r>
                    <w:rPr>
                      <w:color w:val="000000"/>
                    </w:rPr>
                    <w:t xml:space="preserve"> (IEQ)</w:t>
                  </w:r>
                  <w:r w:rsidR="000D0346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B26F66" w14:paraId="37EFAE5C" w14:textId="77777777" w:rsidTr="00506DF8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738106D2" w14:textId="77777777" w:rsidR="00B26F66" w:rsidRDefault="005E1480">
                  <w:r>
                    <w:pict w14:anchorId="08BC510E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B26F66" w14:paraId="08A4366F" w14:textId="77777777" w:rsidTr="00506DF8">
              <w:trPr>
                <w:gridAfter w:val="2"/>
                <w:wAfter w:w="669" w:type="pct"/>
                <w:trHeight w:val="2121"/>
                <w:tblCellSpacing w:w="0" w:type="dxa"/>
              </w:trPr>
              <w:tc>
                <w:tcPr>
                  <w:tcW w:w="433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B26F66" w14:paraId="4DB04ECF" w14:textId="77777777" w:rsidTr="00BE4A1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0100D3DF" w14:textId="77777777" w:rsidR="00B26F66" w:rsidRDefault="00B26F66"/>
                    </w:tc>
                    <w:tc>
                      <w:tcPr>
                        <w:tcW w:w="3600" w:type="dxa"/>
                      </w:tcPr>
                      <w:p w14:paraId="17CCBA53" w14:textId="77777777" w:rsidR="00B26F66" w:rsidRDefault="00B26F66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2414D15B" w14:textId="77777777" w:rsidR="00B26F66" w:rsidRDefault="00B26F66">
                        <w:r>
                          <w:t>Refer to Organization</w:t>
                        </w:r>
                      </w:p>
                    </w:tc>
                  </w:tr>
                  <w:tr w:rsidR="00B26F66" w14:paraId="22B96287" w14:textId="77777777" w:rsidTr="00BE4A1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7FCC4CF9" w14:textId="77777777" w:rsidR="00B26F66" w:rsidRDefault="00B26F66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5BB1F905" w14:textId="77777777" w:rsidR="00B26F66" w:rsidRPr="000D4391" w:rsidRDefault="005E1480" w:rsidP="00F32B95">
                        <w:pPr>
                          <w:rPr>
                            <w:highlight w:val="yellow"/>
                          </w:rPr>
                        </w:pPr>
                        <w:hyperlink r:id="rId36" w:history="1">
                          <w:r w:rsidR="00C9128C" w:rsidRPr="0095747A">
                            <w:rPr>
                              <w:rStyle w:val="Hyperlink"/>
                            </w:rPr>
                            <w:t>TC 2.1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55AB2BBA" w14:textId="77777777" w:rsidR="00B26F66" w:rsidRDefault="00B26F66"/>
                    </w:tc>
                  </w:tr>
                  <w:tr w:rsidR="00B26F66" w14:paraId="24A94E3D" w14:textId="77777777" w:rsidTr="00BE4A1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3D05945C" w14:textId="77777777" w:rsidR="00B26F66" w:rsidRDefault="00B26F66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1A19538F" w14:textId="77777777" w:rsidR="00B26F66" w:rsidRPr="000D4391" w:rsidRDefault="005E1480" w:rsidP="003B1CE9">
                        <w:pPr>
                          <w:rPr>
                            <w:highlight w:val="yellow"/>
                          </w:rPr>
                        </w:pPr>
                        <w:hyperlink r:id="rId37" w:history="1">
                          <w:r w:rsidR="000D0346" w:rsidRPr="00C9128C">
                            <w:rPr>
                              <w:rStyle w:val="Hyperlink"/>
                            </w:rPr>
                            <w:t>TC 4.3</w:t>
                          </w:r>
                        </w:hyperlink>
                        <w:hyperlink r:id="rId38" w:history="1"/>
                      </w:p>
                    </w:tc>
                    <w:tc>
                      <w:tcPr>
                        <w:tcW w:w="2520" w:type="dxa"/>
                      </w:tcPr>
                      <w:p w14:paraId="58A74906" w14:textId="77777777" w:rsidR="00B26F66" w:rsidRDefault="00B26F66"/>
                    </w:tc>
                  </w:tr>
                  <w:tr w:rsidR="00B26F66" w14:paraId="73B2252A" w14:textId="77777777" w:rsidTr="00BE4A1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0E2B3296" w14:textId="77777777" w:rsidR="00B26F66" w:rsidRDefault="00B26F66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2A404F5A" w14:textId="77777777" w:rsidR="00B26F66" w:rsidRPr="000D4391" w:rsidRDefault="005E1480">
                        <w:pPr>
                          <w:rPr>
                            <w:highlight w:val="yellow"/>
                          </w:rPr>
                        </w:pPr>
                        <w:hyperlink r:id="rId39" w:history="1">
                          <w:r w:rsidR="000D0346" w:rsidRPr="00B06066">
                            <w:rPr>
                              <w:rStyle w:val="Hyperlink"/>
                            </w:rPr>
                            <w:t>TC 9.7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003105A4" w14:textId="77777777" w:rsidR="00B26F66" w:rsidRDefault="00B26F66"/>
                    </w:tc>
                  </w:tr>
                  <w:tr w:rsidR="00B26F66" w14:paraId="4030A29A" w14:textId="77777777" w:rsidTr="00BE4A1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1448AC21" w14:textId="77777777" w:rsidR="00B26F66" w:rsidRDefault="00B26F66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3003732" w14:textId="77777777" w:rsidR="00B26F66" w:rsidRDefault="000D0346">
                        <w:r>
                          <w:t>SSPC 62.1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7A523E65" w14:textId="77777777" w:rsidR="00B26F66" w:rsidRDefault="00B26F66"/>
                    </w:tc>
                  </w:tr>
                  <w:tr w:rsidR="00B26F66" w14:paraId="79A7F9EF" w14:textId="77777777" w:rsidTr="00BE4A1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24DAB5CE" w14:textId="77777777" w:rsidR="00B26F66" w:rsidRDefault="00B26F66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757D5ABA" w14:textId="77777777" w:rsidR="00B26F66" w:rsidRDefault="000D0346">
                        <w:r>
                          <w:t>SSPC 55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650E88EE" w14:textId="77777777" w:rsidR="00B26F66" w:rsidRDefault="00B26F66"/>
                    </w:tc>
                  </w:tr>
                </w:tbl>
                <w:p w14:paraId="3C2C401C" w14:textId="77777777" w:rsidR="00B26F66" w:rsidRDefault="00B26F66"/>
              </w:tc>
            </w:tr>
            <w:tr w:rsidR="00B26F66" w14:paraId="20F851B8" w14:textId="77777777" w:rsidTr="00506DF8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1EC90603" w14:textId="77777777" w:rsidR="00B26F66" w:rsidRDefault="00B26F66"/>
              </w:tc>
            </w:tr>
          </w:tbl>
          <w:p w14:paraId="7163D542" w14:textId="77777777" w:rsidR="00B26F66" w:rsidRDefault="00B26F66"/>
        </w:tc>
        <w:tc>
          <w:tcPr>
            <w:tcW w:w="0" w:type="auto"/>
            <w:vAlign w:val="center"/>
          </w:tcPr>
          <w:p w14:paraId="1DF947E1" w14:textId="77777777" w:rsidR="00B26F66" w:rsidRDefault="00B26F66">
            <w:pPr>
              <w:rPr>
                <w:sz w:val="20"/>
                <w:szCs w:val="20"/>
              </w:rPr>
            </w:pPr>
          </w:p>
        </w:tc>
      </w:tr>
    </w:tbl>
    <w:p w14:paraId="6BDA97EC" w14:textId="77777777" w:rsidR="00B26F66" w:rsidRPr="005E4570" w:rsidRDefault="00B26F66">
      <w:pPr>
        <w:rPr>
          <w:rFonts w:ascii="Arial" w:hAnsi="Arial" w:cs="Arial"/>
        </w:rPr>
      </w:pPr>
    </w:p>
    <w:sectPr w:rsidR="00B26F66" w:rsidRPr="005E4570" w:rsidSect="00531976">
      <w:pgSz w:w="12240" w:h="15840"/>
      <w:pgMar w:top="63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5166"/>
    <w:multiLevelType w:val="hybridMultilevel"/>
    <w:tmpl w:val="D8CA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0728A"/>
    <w:multiLevelType w:val="multilevel"/>
    <w:tmpl w:val="C1B0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BB75C8"/>
    <w:multiLevelType w:val="hybridMultilevel"/>
    <w:tmpl w:val="AC0A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2674">
    <w:abstractNumId w:val="2"/>
  </w:num>
  <w:num w:numId="2" w16cid:durableId="112866486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0096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27822"/>
    <w:rsid w:val="00003EC8"/>
    <w:rsid w:val="000142F9"/>
    <w:rsid w:val="00026B8D"/>
    <w:rsid w:val="000405EC"/>
    <w:rsid w:val="00043D6E"/>
    <w:rsid w:val="0005555B"/>
    <w:rsid w:val="00093487"/>
    <w:rsid w:val="000A20AB"/>
    <w:rsid w:val="000A4C5E"/>
    <w:rsid w:val="000B1E64"/>
    <w:rsid w:val="000C17CC"/>
    <w:rsid w:val="000C3D1F"/>
    <w:rsid w:val="000C7C12"/>
    <w:rsid w:val="000D0346"/>
    <w:rsid w:val="000D4391"/>
    <w:rsid w:val="000D61FB"/>
    <w:rsid w:val="000E41B2"/>
    <w:rsid w:val="000E46C8"/>
    <w:rsid w:val="000E4A46"/>
    <w:rsid w:val="00105431"/>
    <w:rsid w:val="00111AD9"/>
    <w:rsid w:val="00133B32"/>
    <w:rsid w:val="00136D1C"/>
    <w:rsid w:val="00145CEF"/>
    <w:rsid w:val="001538C4"/>
    <w:rsid w:val="001579B8"/>
    <w:rsid w:val="00167169"/>
    <w:rsid w:val="00176F30"/>
    <w:rsid w:val="00177D55"/>
    <w:rsid w:val="001848E8"/>
    <w:rsid w:val="001935DF"/>
    <w:rsid w:val="0019749A"/>
    <w:rsid w:val="001B7130"/>
    <w:rsid w:val="001F0C26"/>
    <w:rsid w:val="001F48C6"/>
    <w:rsid w:val="001F7BF7"/>
    <w:rsid w:val="002051F5"/>
    <w:rsid w:val="0020535B"/>
    <w:rsid w:val="002173A6"/>
    <w:rsid w:val="00227822"/>
    <w:rsid w:val="0024504B"/>
    <w:rsid w:val="00252728"/>
    <w:rsid w:val="00257E60"/>
    <w:rsid w:val="002703A5"/>
    <w:rsid w:val="00271495"/>
    <w:rsid w:val="0027767A"/>
    <w:rsid w:val="002779BB"/>
    <w:rsid w:val="00281782"/>
    <w:rsid w:val="002825E3"/>
    <w:rsid w:val="002B0D3F"/>
    <w:rsid w:val="002B0E1E"/>
    <w:rsid w:val="002B6692"/>
    <w:rsid w:val="002C6A17"/>
    <w:rsid w:val="002E45EC"/>
    <w:rsid w:val="002F4E1B"/>
    <w:rsid w:val="002F6C9C"/>
    <w:rsid w:val="003117BC"/>
    <w:rsid w:val="003121B2"/>
    <w:rsid w:val="003154F9"/>
    <w:rsid w:val="0034178F"/>
    <w:rsid w:val="00343F60"/>
    <w:rsid w:val="0034419D"/>
    <w:rsid w:val="003478DA"/>
    <w:rsid w:val="00354C54"/>
    <w:rsid w:val="00354FC9"/>
    <w:rsid w:val="00356BED"/>
    <w:rsid w:val="00357E79"/>
    <w:rsid w:val="003857A7"/>
    <w:rsid w:val="003A0081"/>
    <w:rsid w:val="003A1FF8"/>
    <w:rsid w:val="003A2FCC"/>
    <w:rsid w:val="003A7837"/>
    <w:rsid w:val="003B1CE9"/>
    <w:rsid w:val="003B7412"/>
    <w:rsid w:val="003C4E8B"/>
    <w:rsid w:val="003D4ED5"/>
    <w:rsid w:val="003E21A9"/>
    <w:rsid w:val="003F582C"/>
    <w:rsid w:val="0040222F"/>
    <w:rsid w:val="00402302"/>
    <w:rsid w:val="004138CF"/>
    <w:rsid w:val="004265F2"/>
    <w:rsid w:val="004275F8"/>
    <w:rsid w:val="00435136"/>
    <w:rsid w:val="00435919"/>
    <w:rsid w:val="00437DC1"/>
    <w:rsid w:val="004424C2"/>
    <w:rsid w:val="004466ED"/>
    <w:rsid w:val="0044728F"/>
    <w:rsid w:val="004543E1"/>
    <w:rsid w:val="00454431"/>
    <w:rsid w:val="00460FE3"/>
    <w:rsid w:val="004816F2"/>
    <w:rsid w:val="004A37B0"/>
    <w:rsid w:val="004A4C42"/>
    <w:rsid w:val="004B7D56"/>
    <w:rsid w:val="004F534E"/>
    <w:rsid w:val="00506DF8"/>
    <w:rsid w:val="00525829"/>
    <w:rsid w:val="00526CA2"/>
    <w:rsid w:val="00531976"/>
    <w:rsid w:val="00536422"/>
    <w:rsid w:val="005373C0"/>
    <w:rsid w:val="00541223"/>
    <w:rsid w:val="00554020"/>
    <w:rsid w:val="00555DE5"/>
    <w:rsid w:val="005614FF"/>
    <w:rsid w:val="00571299"/>
    <w:rsid w:val="00571372"/>
    <w:rsid w:val="00573B26"/>
    <w:rsid w:val="005750B3"/>
    <w:rsid w:val="00575DE3"/>
    <w:rsid w:val="00581D07"/>
    <w:rsid w:val="005C2DAE"/>
    <w:rsid w:val="005C3B4D"/>
    <w:rsid w:val="005D5A07"/>
    <w:rsid w:val="005D60B9"/>
    <w:rsid w:val="005E1480"/>
    <w:rsid w:val="005E4570"/>
    <w:rsid w:val="005F09FF"/>
    <w:rsid w:val="005F5381"/>
    <w:rsid w:val="005F6297"/>
    <w:rsid w:val="00631532"/>
    <w:rsid w:val="006342C5"/>
    <w:rsid w:val="00634806"/>
    <w:rsid w:val="00650ACA"/>
    <w:rsid w:val="00654562"/>
    <w:rsid w:val="006737EC"/>
    <w:rsid w:val="006A394D"/>
    <w:rsid w:val="006B4FBD"/>
    <w:rsid w:val="006B57C8"/>
    <w:rsid w:val="006B6767"/>
    <w:rsid w:val="006C4140"/>
    <w:rsid w:val="006E623D"/>
    <w:rsid w:val="006F2C88"/>
    <w:rsid w:val="006F48B2"/>
    <w:rsid w:val="00700B7C"/>
    <w:rsid w:val="007017C3"/>
    <w:rsid w:val="00706381"/>
    <w:rsid w:val="0071427D"/>
    <w:rsid w:val="00714365"/>
    <w:rsid w:val="00724256"/>
    <w:rsid w:val="0073616E"/>
    <w:rsid w:val="007467D8"/>
    <w:rsid w:val="00746BF9"/>
    <w:rsid w:val="00757A1E"/>
    <w:rsid w:val="007630B1"/>
    <w:rsid w:val="007712CD"/>
    <w:rsid w:val="007776A6"/>
    <w:rsid w:val="0078711F"/>
    <w:rsid w:val="007B0644"/>
    <w:rsid w:val="007B13FA"/>
    <w:rsid w:val="007B4575"/>
    <w:rsid w:val="007B5F25"/>
    <w:rsid w:val="007C7077"/>
    <w:rsid w:val="007D36C5"/>
    <w:rsid w:val="007D4461"/>
    <w:rsid w:val="007D767C"/>
    <w:rsid w:val="007F01EC"/>
    <w:rsid w:val="007F3B30"/>
    <w:rsid w:val="00805C24"/>
    <w:rsid w:val="00813A3D"/>
    <w:rsid w:val="00830AF5"/>
    <w:rsid w:val="008435E5"/>
    <w:rsid w:val="008462B8"/>
    <w:rsid w:val="00850063"/>
    <w:rsid w:val="0087000C"/>
    <w:rsid w:val="008701B3"/>
    <w:rsid w:val="008719EB"/>
    <w:rsid w:val="00881807"/>
    <w:rsid w:val="00891043"/>
    <w:rsid w:val="00894205"/>
    <w:rsid w:val="008A1C67"/>
    <w:rsid w:val="008A5008"/>
    <w:rsid w:val="008A784F"/>
    <w:rsid w:val="008B3AE9"/>
    <w:rsid w:val="008C0BEF"/>
    <w:rsid w:val="008C5134"/>
    <w:rsid w:val="008D2B09"/>
    <w:rsid w:val="008D5447"/>
    <w:rsid w:val="008E2F59"/>
    <w:rsid w:val="008E7528"/>
    <w:rsid w:val="00905825"/>
    <w:rsid w:val="00931EEA"/>
    <w:rsid w:val="00946D49"/>
    <w:rsid w:val="009515BA"/>
    <w:rsid w:val="00954341"/>
    <w:rsid w:val="00961F04"/>
    <w:rsid w:val="00985209"/>
    <w:rsid w:val="00990BE1"/>
    <w:rsid w:val="009A0BC4"/>
    <w:rsid w:val="009B6C9C"/>
    <w:rsid w:val="009B6EC3"/>
    <w:rsid w:val="009C1218"/>
    <w:rsid w:val="009D09C4"/>
    <w:rsid w:val="009F0A2B"/>
    <w:rsid w:val="009F5F3C"/>
    <w:rsid w:val="00A0432D"/>
    <w:rsid w:val="00A07B27"/>
    <w:rsid w:val="00A10D2D"/>
    <w:rsid w:val="00A141FA"/>
    <w:rsid w:val="00A35BBF"/>
    <w:rsid w:val="00A41EB6"/>
    <w:rsid w:val="00A428DA"/>
    <w:rsid w:val="00A42B5B"/>
    <w:rsid w:val="00A4684A"/>
    <w:rsid w:val="00A479A0"/>
    <w:rsid w:val="00A54053"/>
    <w:rsid w:val="00A70EC9"/>
    <w:rsid w:val="00A731E6"/>
    <w:rsid w:val="00A83D39"/>
    <w:rsid w:val="00AB64D7"/>
    <w:rsid w:val="00AC6438"/>
    <w:rsid w:val="00AF77C5"/>
    <w:rsid w:val="00B02942"/>
    <w:rsid w:val="00B03616"/>
    <w:rsid w:val="00B044DC"/>
    <w:rsid w:val="00B06066"/>
    <w:rsid w:val="00B0665D"/>
    <w:rsid w:val="00B14390"/>
    <w:rsid w:val="00B21E7B"/>
    <w:rsid w:val="00B23A11"/>
    <w:rsid w:val="00B26F66"/>
    <w:rsid w:val="00B439CB"/>
    <w:rsid w:val="00B46DED"/>
    <w:rsid w:val="00B518D4"/>
    <w:rsid w:val="00B51FB5"/>
    <w:rsid w:val="00B554F4"/>
    <w:rsid w:val="00B555CD"/>
    <w:rsid w:val="00B60F8A"/>
    <w:rsid w:val="00B662F7"/>
    <w:rsid w:val="00B76549"/>
    <w:rsid w:val="00B822AE"/>
    <w:rsid w:val="00B901B4"/>
    <w:rsid w:val="00B94741"/>
    <w:rsid w:val="00BA430A"/>
    <w:rsid w:val="00BA6202"/>
    <w:rsid w:val="00BB7846"/>
    <w:rsid w:val="00BC106F"/>
    <w:rsid w:val="00BC52D5"/>
    <w:rsid w:val="00BC784B"/>
    <w:rsid w:val="00BD3079"/>
    <w:rsid w:val="00BD3FC3"/>
    <w:rsid w:val="00BE4A11"/>
    <w:rsid w:val="00BE505D"/>
    <w:rsid w:val="00BF31F7"/>
    <w:rsid w:val="00C164C6"/>
    <w:rsid w:val="00C24D36"/>
    <w:rsid w:val="00C41BCD"/>
    <w:rsid w:val="00C659F8"/>
    <w:rsid w:val="00C7107C"/>
    <w:rsid w:val="00C9128C"/>
    <w:rsid w:val="00CB0012"/>
    <w:rsid w:val="00CE0D06"/>
    <w:rsid w:val="00D0381D"/>
    <w:rsid w:val="00D1154F"/>
    <w:rsid w:val="00D277CC"/>
    <w:rsid w:val="00D30DFC"/>
    <w:rsid w:val="00D34EBB"/>
    <w:rsid w:val="00D35BE4"/>
    <w:rsid w:val="00D4058C"/>
    <w:rsid w:val="00D52DA1"/>
    <w:rsid w:val="00D829FF"/>
    <w:rsid w:val="00D953A9"/>
    <w:rsid w:val="00DA0AA0"/>
    <w:rsid w:val="00DA2376"/>
    <w:rsid w:val="00DC7123"/>
    <w:rsid w:val="00DD073D"/>
    <w:rsid w:val="00DE21F3"/>
    <w:rsid w:val="00DF0848"/>
    <w:rsid w:val="00E11623"/>
    <w:rsid w:val="00E16CD2"/>
    <w:rsid w:val="00E27DD7"/>
    <w:rsid w:val="00E33E07"/>
    <w:rsid w:val="00E368B7"/>
    <w:rsid w:val="00E36E9E"/>
    <w:rsid w:val="00E57ACB"/>
    <w:rsid w:val="00E62952"/>
    <w:rsid w:val="00E83E50"/>
    <w:rsid w:val="00E86038"/>
    <w:rsid w:val="00EA3DD3"/>
    <w:rsid w:val="00EB72AB"/>
    <w:rsid w:val="00EB7677"/>
    <w:rsid w:val="00EF1683"/>
    <w:rsid w:val="00EF33A2"/>
    <w:rsid w:val="00F00D4E"/>
    <w:rsid w:val="00F033B0"/>
    <w:rsid w:val="00F0454E"/>
    <w:rsid w:val="00F070C1"/>
    <w:rsid w:val="00F16773"/>
    <w:rsid w:val="00F200D0"/>
    <w:rsid w:val="00F20FB8"/>
    <w:rsid w:val="00F32B95"/>
    <w:rsid w:val="00F33078"/>
    <w:rsid w:val="00F455AD"/>
    <w:rsid w:val="00F544EB"/>
    <w:rsid w:val="00F62AEB"/>
    <w:rsid w:val="00F64BF0"/>
    <w:rsid w:val="00F679E6"/>
    <w:rsid w:val="00F76334"/>
    <w:rsid w:val="00F850C2"/>
    <w:rsid w:val="00F87B2D"/>
    <w:rsid w:val="00FA5F51"/>
    <w:rsid w:val="00FB506A"/>
    <w:rsid w:val="00FB639A"/>
    <w:rsid w:val="00FC5F98"/>
    <w:rsid w:val="00FE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75700F9A"/>
  <w15:chartTrackingRefBased/>
  <w15:docId w15:val="{CCE9F3C9-FED8-4E26-92AB-3DFC7283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26F66"/>
    <w:rPr>
      <w:color w:val="0000FF"/>
      <w:u w:val="single"/>
    </w:rPr>
  </w:style>
  <w:style w:type="character" w:styleId="FollowedHyperlink">
    <w:name w:val="FollowedHyperlink"/>
    <w:basedOn w:val="DefaultParagraphFont"/>
    <w:rsid w:val="00B60F8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B64D7"/>
    <w:pPr>
      <w:ind w:left="720"/>
    </w:pPr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rsid w:val="00D277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77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77CC"/>
  </w:style>
  <w:style w:type="paragraph" w:styleId="BalloonText">
    <w:name w:val="Balloon Text"/>
    <w:basedOn w:val="Normal"/>
    <w:link w:val="BalloonTextChar"/>
    <w:rsid w:val="00D277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77CC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435919"/>
    <w:rPr>
      <w:b/>
      <w:bCs/>
      <w:sz w:val="27"/>
      <w:szCs w:val="27"/>
    </w:rPr>
  </w:style>
  <w:style w:type="character" w:customStyle="1" w:styleId="ss-icon">
    <w:name w:val="ss-icon"/>
    <w:rsid w:val="00435919"/>
  </w:style>
  <w:style w:type="character" w:customStyle="1" w:styleId="highlight">
    <w:name w:val="highlight"/>
    <w:rsid w:val="00435919"/>
  </w:style>
  <w:style w:type="paragraph" w:customStyle="1" w:styleId="pubdate">
    <w:name w:val="pub_date"/>
    <w:basedOn w:val="Normal"/>
    <w:rsid w:val="00435919"/>
    <w:pPr>
      <w:spacing w:before="100" w:beforeAutospacing="1" w:after="100" w:afterAutospacing="1"/>
    </w:pPr>
  </w:style>
  <w:style w:type="character" w:customStyle="1" w:styleId="publishername">
    <w:name w:val="publisher_name"/>
    <w:rsid w:val="00435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19079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040">
              <w:marLeft w:val="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echstreet.com/ashrae/products/1771692" TargetMode="External"/><Relationship Id="rId18" Type="http://schemas.openxmlformats.org/officeDocument/2006/relationships/hyperlink" Target="http://www.techstreet.com/cgi-bin/detail?product_id=1717634" TargetMode="External"/><Relationship Id="rId26" Type="http://schemas.openxmlformats.org/officeDocument/2006/relationships/hyperlink" Target="http://www.ashrae.org/resources--publications/periodicals/ashrae-journal" TargetMode="External"/><Relationship Id="rId39" Type="http://schemas.openxmlformats.org/officeDocument/2006/relationships/hyperlink" Target="https://tc0907.ashraetcs.org/" TargetMode="External"/><Relationship Id="rId21" Type="http://schemas.openxmlformats.org/officeDocument/2006/relationships/hyperlink" Target="http://www.ashrae.org/resources--publications/periodicals/hvacr-research" TargetMode="External"/><Relationship Id="rId34" Type="http://schemas.openxmlformats.org/officeDocument/2006/relationships/hyperlink" Target="http://www.ashrae.org/standards-research--technology/standards-addenda" TargetMode="External"/><Relationship Id="rId7" Type="http://schemas.openxmlformats.org/officeDocument/2006/relationships/hyperlink" Target="https://www.techstreet.com/ashrae/standards/ho-18-c048-nearly-zero-energy-schools-their-systems-energy-use-and-perceived-indoor-air-quality?product_id=201671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chstreet.com/cgi-bin/detail?product_id=1718288" TargetMode="External"/><Relationship Id="rId20" Type="http://schemas.openxmlformats.org/officeDocument/2006/relationships/hyperlink" Target="http://www.ashrae.org/resources--publications/periodicals/hvacr-research" TargetMode="External"/><Relationship Id="rId29" Type="http://schemas.openxmlformats.org/officeDocument/2006/relationships/hyperlink" Target="https://www.techstreet.com/ashrae/standards/2023-ashrae-handbook-hvac-applications-i-p?product_id=2225673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echstreet.com/ashrae/standards/ho-18-c049-the-effects-of-ventilation-on-indoor-air-quality-in-schools?product_id=2016676" TargetMode="External"/><Relationship Id="rId11" Type="http://schemas.openxmlformats.org/officeDocument/2006/relationships/hyperlink" Target="http://www.techstreet.com/ashrae/products/1869521" TargetMode="External"/><Relationship Id="rId24" Type="http://schemas.openxmlformats.org/officeDocument/2006/relationships/hyperlink" Target="http://www.techstreet.com/cgi-bin/detail?product_id=1717727" TargetMode="External"/><Relationship Id="rId32" Type="http://schemas.openxmlformats.org/officeDocument/2006/relationships/hyperlink" Target="http://www.ashrae.org/standards-research--technology/standards-addenda" TargetMode="External"/><Relationship Id="rId37" Type="http://schemas.openxmlformats.org/officeDocument/2006/relationships/hyperlink" Target="https://tc0403.ashraetcs.org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ashrae.org/bookstore" TargetMode="External"/><Relationship Id="rId15" Type="http://schemas.openxmlformats.org/officeDocument/2006/relationships/hyperlink" Target="http://www.techstreet.com/cgi-bin/detail?product_id=1712949" TargetMode="External"/><Relationship Id="rId23" Type="http://schemas.openxmlformats.org/officeDocument/2006/relationships/hyperlink" Target="http://www.techstreet.com/cgi-bin/detail?product_id=1719013" TargetMode="External"/><Relationship Id="rId28" Type="http://schemas.openxmlformats.org/officeDocument/2006/relationships/hyperlink" Target="file:///\\Ashrae100\technology$\Tech%20Srvs\Steve%20Winter%202010\FAQs\April%202010\www.ashrae.org" TargetMode="External"/><Relationship Id="rId36" Type="http://schemas.openxmlformats.org/officeDocument/2006/relationships/hyperlink" Target="https://tc0201.ashraetcs.org/" TargetMode="External"/><Relationship Id="rId10" Type="http://schemas.openxmlformats.org/officeDocument/2006/relationships/hyperlink" Target="http://www.techstreet.com/ashrae/products/1869515" TargetMode="External"/><Relationship Id="rId19" Type="http://schemas.openxmlformats.org/officeDocument/2006/relationships/hyperlink" Target="http://www.techstreet.com/cgi-bin/detail?product_id=1713903" TargetMode="External"/><Relationship Id="rId31" Type="http://schemas.openxmlformats.org/officeDocument/2006/relationships/hyperlink" Target="https://www.techstreet.com/ashrae/standards/ashrae-62-1-2022?product_id=2501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chstreet.com/ashrae/standards/do-the-students-in-high-performance-incentive-hpi-schools-demonstrate-more-academic-improvement-than-their-peers-in-non-hpi-schools?product_id=1928339" TargetMode="External"/><Relationship Id="rId14" Type="http://schemas.openxmlformats.org/officeDocument/2006/relationships/hyperlink" Target="http://www.techstreet.com/ashrae/products/1718762" TargetMode="External"/><Relationship Id="rId22" Type="http://schemas.openxmlformats.org/officeDocument/2006/relationships/hyperlink" Target="http://www.ashrae.org/resources--publications/periodicals/hvacr-research" TargetMode="External"/><Relationship Id="rId27" Type="http://schemas.openxmlformats.org/officeDocument/2006/relationships/hyperlink" Target="file:///\\Ashrae100\technology$\Tech%20Srvs\Steve%20Winter%202010\FAQs\April%202010\www.ashrae.org" TargetMode="External"/><Relationship Id="rId30" Type="http://schemas.openxmlformats.org/officeDocument/2006/relationships/hyperlink" Target="https://www.techstreet.com/ashrae/standards/a08-educational-facilities-i-p?product_id=2573468" TargetMode="External"/><Relationship Id="rId35" Type="http://schemas.openxmlformats.org/officeDocument/2006/relationships/hyperlink" Target="http://www.techstreet.com/cgi-bin/detail?product_id=1714963" TargetMode="External"/><Relationship Id="rId8" Type="http://schemas.openxmlformats.org/officeDocument/2006/relationships/hyperlink" Target="https://www.techstreet.com/ashrae/standards/ieq-applications-changes-in-iaq-caused-by-corona-discharge-air-cleaner?product_id=20277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techstreet.com/ashrae/products/1713903" TargetMode="External"/><Relationship Id="rId17" Type="http://schemas.openxmlformats.org/officeDocument/2006/relationships/hyperlink" Target="http://www.techstreet.com/cgi-bin/detail?product_id=1713891" TargetMode="External"/><Relationship Id="rId25" Type="http://schemas.openxmlformats.org/officeDocument/2006/relationships/hyperlink" Target="http://www.techstreet.com/cgi-bin/detail?product_id=1714963" TargetMode="External"/><Relationship Id="rId33" Type="http://schemas.openxmlformats.org/officeDocument/2006/relationships/hyperlink" Target="https://www.techstreet.com/ashrae/standards/ashrae-55-2020?product_id=2207271" TargetMode="External"/><Relationship Id="rId38" Type="http://schemas.openxmlformats.org/officeDocument/2006/relationships/hyperlink" Target="http://www.ashrae.org/members/page/3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6481</CharactersWithSpaces>
  <SharedDoc>false</SharedDoc>
  <HLinks>
    <vt:vector size="156" baseType="variant">
      <vt:variant>
        <vt:i4>3932218</vt:i4>
      </vt:variant>
      <vt:variant>
        <vt:i4>75</vt:i4>
      </vt:variant>
      <vt:variant>
        <vt:i4>0</vt:i4>
      </vt:variant>
      <vt:variant>
        <vt:i4>5</vt:i4>
      </vt:variant>
      <vt:variant>
        <vt:lpwstr>http://tc97.ashraetcs.org/</vt:lpwstr>
      </vt:variant>
      <vt:variant>
        <vt:lpwstr/>
      </vt:variant>
      <vt:variant>
        <vt:i4>7077920</vt:i4>
      </vt:variant>
      <vt:variant>
        <vt:i4>72</vt:i4>
      </vt:variant>
      <vt:variant>
        <vt:i4>0</vt:i4>
      </vt:variant>
      <vt:variant>
        <vt:i4>5</vt:i4>
      </vt:variant>
      <vt:variant>
        <vt:lpwstr>http://www.ashrae.org/members/page/321</vt:lpwstr>
      </vt:variant>
      <vt:variant>
        <vt:lpwstr/>
      </vt:variant>
      <vt:variant>
        <vt:i4>3211326</vt:i4>
      </vt:variant>
      <vt:variant>
        <vt:i4>69</vt:i4>
      </vt:variant>
      <vt:variant>
        <vt:i4>0</vt:i4>
      </vt:variant>
      <vt:variant>
        <vt:i4>5</vt:i4>
      </vt:variant>
      <vt:variant>
        <vt:lpwstr>http://tc43.ashraetcs.org/</vt:lpwstr>
      </vt:variant>
      <vt:variant>
        <vt:lpwstr/>
      </vt:variant>
      <vt:variant>
        <vt:i4>3604540</vt:i4>
      </vt:variant>
      <vt:variant>
        <vt:i4>66</vt:i4>
      </vt:variant>
      <vt:variant>
        <vt:i4>0</vt:i4>
      </vt:variant>
      <vt:variant>
        <vt:i4>5</vt:i4>
      </vt:variant>
      <vt:variant>
        <vt:lpwstr>http://tc21.ashraetcs.org/</vt:lpwstr>
      </vt:variant>
      <vt:variant>
        <vt:lpwstr/>
      </vt:variant>
      <vt:variant>
        <vt:i4>2949121</vt:i4>
      </vt:variant>
      <vt:variant>
        <vt:i4>63</vt:i4>
      </vt:variant>
      <vt:variant>
        <vt:i4>0</vt:i4>
      </vt:variant>
      <vt:variant>
        <vt:i4>5</vt:i4>
      </vt:variant>
      <vt:variant>
        <vt:lpwstr>http://www.techstreet.com/cgi-bin/detail?product_id=1714963</vt:lpwstr>
      </vt:variant>
      <vt:variant>
        <vt:lpwstr/>
      </vt:variant>
      <vt:variant>
        <vt:i4>3932271</vt:i4>
      </vt:variant>
      <vt:variant>
        <vt:i4>60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7340146</vt:i4>
      </vt:variant>
      <vt:variant>
        <vt:i4>57</vt:i4>
      </vt:variant>
      <vt:variant>
        <vt:i4>0</vt:i4>
      </vt:variant>
      <vt:variant>
        <vt:i4>5</vt:i4>
      </vt:variant>
      <vt:variant>
        <vt:lpwstr>http://www.techstreet.com/standards/ashrae/55_2010?product_id=1741646</vt:lpwstr>
      </vt:variant>
      <vt:variant>
        <vt:lpwstr/>
      </vt:variant>
      <vt:variant>
        <vt:i4>3932271</vt:i4>
      </vt:variant>
      <vt:variant>
        <vt:i4>54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2162765</vt:i4>
      </vt:variant>
      <vt:variant>
        <vt:i4>51</vt:i4>
      </vt:variant>
      <vt:variant>
        <vt:i4>0</vt:i4>
      </vt:variant>
      <vt:variant>
        <vt:i4>5</vt:i4>
      </vt:variant>
      <vt:variant>
        <vt:lpwstr>http://www.techstreet.com/standards/ashrae/62_1_2010?product_id=1720986</vt:lpwstr>
      </vt:variant>
      <vt:variant>
        <vt:lpwstr/>
      </vt:variant>
      <vt:variant>
        <vt:i4>2162701</vt:i4>
      </vt:variant>
      <vt:variant>
        <vt:i4>48</vt:i4>
      </vt:variant>
      <vt:variant>
        <vt:i4>0</vt:i4>
      </vt:variant>
      <vt:variant>
        <vt:i4>5</vt:i4>
      </vt:variant>
      <vt:variant>
        <vt:lpwstr>http://www.techstreet.com/cgi-bin/detail?product_id=1801401</vt:lpwstr>
      </vt:variant>
      <vt:variant>
        <vt:lpwstr/>
      </vt:variant>
      <vt:variant>
        <vt:i4>3014664</vt:i4>
      </vt:variant>
      <vt:variant>
        <vt:i4>45</vt:i4>
      </vt:variant>
      <vt:variant>
        <vt:i4>0</vt:i4>
      </vt:variant>
      <vt:variant>
        <vt:i4>5</vt:i4>
      </vt:variant>
      <vt:variant>
        <vt:lpwstr>http://www.techstreet.com/cgi-bin/detail?product_id=1797866</vt:lpwstr>
      </vt:variant>
      <vt:variant>
        <vt:lpwstr/>
      </vt:variant>
      <vt:variant>
        <vt:i4>3997756</vt:i4>
      </vt:variant>
      <vt:variant>
        <vt:i4>41</vt:i4>
      </vt:variant>
      <vt:variant>
        <vt:i4>0</vt:i4>
      </vt:variant>
      <vt:variant>
        <vt:i4>5</vt:i4>
      </vt:variant>
      <vt:variant>
        <vt:lpwstr>\\Ashrae100\technology$\Tech Srvs\Steve Winter 2010\FAQs\April 2010\www.ashrae.org</vt:lpwstr>
      </vt:variant>
      <vt:variant>
        <vt:lpwstr/>
      </vt:variant>
      <vt:variant>
        <vt:i4>3997756</vt:i4>
      </vt:variant>
      <vt:variant>
        <vt:i4>39</vt:i4>
      </vt:variant>
      <vt:variant>
        <vt:i4>0</vt:i4>
      </vt:variant>
      <vt:variant>
        <vt:i4>5</vt:i4>
      </vt:variant>
      <vt:variant>
        <vt:lpwstr>\\Ashrae100\technology$\Tech Srvs\Steve Winter 2010\FAQs\April 2010\www.ashrae.org</vt:lpwstr>
      </vt:variant>
      <vt:variant>
        <vt:lpwstr/>
      </vt:variant>
      <vt:variant>
        <vt:i4>196680</vt:i4>
      </vt:variant>
      <vt:variant>
        <vt:i4>36</vt:i4>
      </vt:variant>
      <vt:variant>
        <vt:i4>0</vt:i4>
      </vt:variant>
      <vt:variant>
        <vt:i4>5</vt:i4>
      </vt:variant>
      <vt:variant>
        <vt:lpwstr>http://www.ashrae.org/resources--publications/periodicals/ashrae-journal</vt:lpwstr>
      </vt:variant>
      <vt:variant>
        <vt:lpwstr/>
      </vt:variant>
      <vt:variant>
        <vt:i4>2949121</vt:i4>
      </vt:variant>
      <vt:variant>
        <vt:i4>33</vt:i4>
      </vt:variant>
      <vt:variant>
        <vt:i4>0</vt:i4>
      </vt:variant>
      <vt:variant>
        <vt:i4>5</vt:i4>
      </vt:variant>
      <vt:variant>
        <vt:lpwstr>http://www.techstreet.com/cgi-bin/detail?product_id=1714963</vt:lpwstr>
      </vt:variant>
      <vt:variant>
        <vt:lpwstr/>
      </vt:variant>
      <vt:variant>
        <vt:i4>2752527</vt:i4>
      </vt:variant>
      <vt:variant>
        <vt:i4>30</vt:i4>
      </vt:variant>
      <vt:variant>
        <vt:i4>0</vt:i4>
      </vt:variant>
      <vt:variant>
        <vt:i4>5</vt:i4>
      </vt:variant>
      <vt:variant>
        <vt:lpwstr>http://www.techstreet.com/cgi-bin/detail?product_id=1717727</vt:lpwstr>
      </vt:variant>
      <vt:variant>
        <vt:lpwstr/>
      </vt:variant>
      <vt:variant>
        <vt:i4>2555912</vt:i4>
      </vt:variant>
      <vt:variant>
        <vt:i4>27</vt:i4>
      </vt:variant>
      <vt:variant>
        <vt:i4>0</vt:i4>
      </vt:variant>
      <vt:variant>
        <vt:i4>5</vt:i4>
      </vt:variant>
      <vt:variant>
        <vt:lpwstr>http://www.techstreet.com/cgi-bin/detail?product_id=1719013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http://www.ashrae.org/resources--publications/periodicals/hvacr-research</vt:lpwstr>
      </vt:variant>
      <vt:variant>
        <vt:lpwstr/>
      </vt:variant>
      <vt:variant>
        <vt:i4>5767177</vt:i4>
      </vt:variant>
      <vt:variant>
        <vt:i4>21</vt:i4>
      </vt:variant>
      <vt:variant>
        <vt:i4>0</vt:i4>
      </vt:variant>
      <vt:variant>
        <vt:i4>5</vt:i4>
      </vt:variant>
      <vt:variant>
        <vt:lpwstr>http://www.ashrae.org/resources--publications/periodicals/hvacr-research</vt:lpwstr>
      </vt:variant>
      <vt:variant>
        <vt:lpwstr/>
      </vt:variant>
      <vt:variant>
        <vt:i4>5767177</vt:i4>
      </vt:variant>
      <vt:variant>
        <vt:i4>18</vt:i4>
      </vt:variant>
      <vt:variant>
        <vt:i4>0</vt:i4>
      </vt:variant>
      <vt:variant>
        <vt:i4>5</vt:i4>
      </vt:variant>
      <vt:variant>
        <vt:lpwstr>http://www.ashrae.org/resources--publications/periodicals/hvacr-research</vt:lpwstr>
      </vt:variant>
      <vt:variant>
        <vt:lpwstr/>
      </vt:variant>
      <vt:variant>
        <vt:i4>2883585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http://www.techstreet.com/cgi-bin/detail?product_id=1713903</vt:lpwstr>
      </vt:variant>
      <vt:variant>
        <vt:lpwstr/>
      </vt:variant>
      <vt:variant>
        <vt:i4>2818062</vt:i4>
      </vt:variant>
      <vt:variant>
        <vt:i4>12</vt:i4>
      </vt:variant>
      <vt:variant>
        <vt:i4>0</vt:i4>
      </vt:variant>
      <vt:variant>
        <vt:i4>5</vt:i4>
      </vt:variant>
      <vt:variant>
        <vt:lpwstr>http://www.techstreet.com/cgi-bin/detail?product_id=1717634</vt:lpwstr>
      </vt:variant>
      <vt:variant>
        <vt:lpwstr/>
      </vt:variant>
      <vt:variant>
        <vt:i4>2424832</vt:i4>
      </vt:variant>
      <vt:variant>
        <vt:i4>9</vt:i4>
      </vt:variant>
      <vt:variant>
        <vt:i4>0</vt:i4>
      </vt:variant>
      <vt:variant>
        <vt:i4>5</vt:i4>
      </vt:variant>
      <vt:variant>
        <vt:lpwstr>http://www.techstreet.com/cgi-bin/detail?product_id=1713891</vt:lpwstr>
      </vt:variant>
      <vt:variant>
        <vt:lpwstr/>
      </vt:variant>
      <vt:variant>
        <vt:i4>3080202</vt:i4>
      </vt:variant>
      <vt:variant>
        <vt:i4>6</vt:i4>
      </vt:variant>
      <vt:variant>
        <vt:i4>0</vt:i4>
      </vt:variant>
      <vt:variant>
        <vt:i4>5</vt:i4>
      </vt:variant>
      <vt:variant>
        <vt:lpwstr>http://www.techstreet.com/cgi-bin/detail?product_id=1718288</vt:lpwstr>
      </vt:variant>
      <vt:variant>
        <vt:lpwstr/>
      </vt:variant>
      <vt:variant>
        <vt:i4>2686977</vt:i4>
      </vt:variant>
      <vt:variant>
        <vt:i4>3</vt:i4>
      </vt:variant>
      <vt:variant>
        <vt:i4>0</vt:i4>
      </vt:variant>
      <vt:variant>
        <vt:i4>5</vt:i4>
      </vt:variant>
      <vt:variant>
        <vt:lpwstr>http://www.techstreet.com/cgi-bin/detail?product_id=1712949</vt:lpwstr>
      </vt:variant>
      <vt:variant>
        <vt:lpwstr/>
      </vt:variant>
      <vt:variant>
        <vt:i4>3276845</vt:i4>
      </vt:variant>
      <vt:variant>
        <vt:i4>0</vt:i4>
      </vt:variant>
      <vt:variant>
        <vt:i4>0</vt:i4>
      </vt:variant>
      <vt:variant>
        <vt:i4>5</vt:i4>
      </vt:variant>
      <vt:variant>
        <vt:lpwstr>http://www.ashrae.org/bookstore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cp:lastModifiedBy>Hammerling, Steve</cp:lastModifiedBy>
  <cp:revision>7</cp:revision>
  <cp:lastPrinted>2014-05-27T12:52:00Z</cp:lastPrinted>
  <dcterms:created xsi:type="dcterms:W3CDTF">2014-05-27T12:52:00Z</dcterms:created>
  <dcterms:modified xsi:type="dcterms:W3CDTF">2023-10-20T02:20:00Z</dcterms:modified>
</cp:coreProperties>
</file>