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B26F66" w14:paraId="56A52B5C" w14:textId="77777777">
        <w:trPr>
          <w:tblCellSpacing w:w="0" w:type="dxa"/>
        </w:trPr>
        <w:tc>
          <w:tcPr>
            <w:tcW w:w="0" w:type="auto"/>
            <w:gridSpan w:val="2"/>
            <w:vAlign w:val="center"/>
          </w:tcPr>
          <w:p w14:paraId="7E92892B" w14:textId="77777777" w:rsidR="00B26F66" w:rsidRDefault="00B26F66">
            <w:pPr>
              <w:pStyle w:val="Heading3"/>
            </w:pPr>
            <w:r>
              <w:t>ASHRAE Technical FAQ</w:t>
            </w:r>
          </w:p>
        </w:tc>
      </w:tr>
      <w:tr w:rsidR="00B26F66" w14:paraId="7C31762B"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B26F66" w14:paraId="7563D602" w14:textId="77777777">
              <w:trPr>
                <w:trHeight w:val="102"/>
                <w:tblCellSpacing w:w="0" w:type="dxa"/>
              </w:trPr>
              <w:tc>
                <w:tcPr>
                  <w:tcW w:w="5000" w:type="pct"/>
                  <w:gridSpan w:val="4"/>
                  <w:vAlign w:val="center"/>
                </w:tcPr>
                <w:p w14:paraId="197D4243" w14:textId="77777777" w:rsidR="00B26F66" w:rsidRDefault="003A43C6">
                  <w:r>
                    <w:pict w14:anchorId="66D34DEE">
                      <v:rect id="_x0000_i1025" style="width:0;height:1.5pt" o:hralign="center" o:hrstd="t" o:hr="t" fillcolor="#aca899" stroked="f"/>
                    </w:pict>
                  </w:r>
                </w:p>
              </w:tc>
            </w:tr>
            <w:tr w:rsidR="00B26F66" w14:paraId="07233C46" w14:textId="77777777">
              <w:trPr>
                <w:gridAfter w:val="1"/>
                <w:wAfter w:w="368" w:type="pct"/>
                <w:trHeight w:val="102"/>
                <w:tblCellSpacing w:w="0" w:type="dxa"/>
              </w:trPr>
              <w:tc>
                <w:tcPr>
                  <w:tcW w:w="980" w:type="pct"/>
                  <w:vAlign w:val="center"/>
                </w:tcPr>
                <w:p w14:paraId="12160A7C" w14:textId="77777777" w:rsidR="00B26F66" w:rsidRDefault="00B26F66">
                  <w:r>
                    <w:t xml:space="preserve">ID </w:t>
                  </w:r>
                </w:p>
              </w:tc>
              <w:tc>
                <w:tcPr>
                  <w:tcW w:w="3652" w:type="pct"/>
                  <w:gridSpan w:val="2"/>
                  <w:vAlign w:val="center"/>
                </w:tcPr>
                <w:p w14:paraId="729CDEFB" w14:textId="77777777" w:rsidR="00B26F66" w:rsidRDefault="00B26F66">
                  <w:r>
                    <w:t>33</w:t>
                  </w:r>
                </w:p>
              </w:tc>
            </w:tr>
            <w:tr w:rsidR="00B26F66" w14:paraId="430040FE" w14:textId="77777777">
              <w:trPr>
                <w:gridAfter w:val="1"/>
                <w:wAfter w:w="368" w:type="pct"/>
                <w:trHeight w:val="102"/>
                <w:tblCellSpacing w:w="0" w:type="dxa"/>
              </w:trPr>
              <w:tc>
                <w:tcPr>
                  <w:tcW w:w="4632" w:type="pct"/>
                  <w:gridSpan w:val="3"/>
                  <w:vAlign w:val="center"/>
                </w:tcPr>
                <w:p w14:paraId="6DCBEAEC" w14:textId="77777777" w:rsidR="00B26F66" w:rsidRDefault="003A43C6">
                  <w:r>
                    <w:pict w14:anchorId="53618A43">
                      <v:rect id="_x0000_i1026" style="width:0;height:1.5pt" o:hralign="center" o:hrstd="t" o:hr="t" fillcolor="#aca899" stroked="f"/>
                    </w:pict>
                  </w:r>
                </w:p>
              </w:tc>
            </w:tr>
            <w:tr w:rsidR="00B26F66" w14:paraId="4D620B7A" w14:textId="77777777">
              <w:trPr>
                <w:gridAfter w:val="1"/>
                <w:wAfter w:w="368" w:type="pct"/>
                <w:trHeight w:val="102"/>
                <w:tblCellSpacing w:w="0" w:type="dxa"/>
              </w:trPr>
              <w:tc>
                <w:tcPr>
                  <w:tcW w:w="980" w:type="pct"/>
                  <w:vAlign w:val="center"/>
                </w:tcPr>
                <w:p w14:paraId="7BCA216B" w14:textId="77777777" w:rsidR="00B26F66" w:rsidRPr="0043096A" w:rsidRDefault="00B26F66">
                  <w:r w:rsidRPr="0043096A">
                    <w:t xml:space="preserve">Question </w:t>
                  </w:r>
                </w:p>
              </w:tc>
              <w:tc>
                <w:tcPr>
                  <w:tcW w:w="3652" w:type="pct"/>
                  <w:gridSpan w:val="2"/>
                  <w:vAlign w:val="center"/>
                </w:tcPr>
                <w:p w14:paraId="1470FB36" w14:textId="77777777" w:rsidR="00B26F66" w:rsidRPr="0043096A" w:rsidRDefault="00B26F66">
                  <w:r w:rsidRPr="0043096A">
                    <w:rPr>
                      <w:color w:val="000000"/>
                    </w:rPr>
                    <w:t>What is the phase-out schedule for HCFC refrigerants?</w:t>
                  </w:r>
                </w:p>
              </w:tc>
            </w:tr>
            <w:tr w:rsidR="00B26F66" w14:paraId="6D1D9859" w14:textId="77777777">
              <w:trPr>
                <w:gridAfter w:val="1"/>
                <w:wAfter w:w="368" w:type="pct"/>
                <w:trHeight w:val="102"/>
                <w:tblCellSpacing w:w="0" w:type="dxa"/>
              </w:trPr>
              <w:tc>
                <w:tcPr>
                  <w:tcW w:w="4632" w:type="pct"/>
                  <w:gridSpan w:val="3"/>
                  <w:vAlign w:val="center"/>
                </w:tcPr>
                <w:p w14:paraId="455F1E63" w14:textId="77777777" w:rsidR="00B26F66" w:rsidRPr="0043096A" w:rsidRDefault="003A43C6">
                  <w:r>
                    <w:pict w14:anchorId="60020E45">
                      <v:rect id="_x0000_i1027" style="width:0;height:1.5pt" o:hralign="center" o:hrstd="t" o:hr="t" fillcolor="#aca899" stroked="f"/>
                    </w:pict>
                  </w:r>
                </w:p>
              </w:tc>
            </w:tr>
            <w:tr w:rsidR="00B26F66" w14:paraId="595BCF89" w14:textId="77777777">
              <w:trPr>
                <w:gridAfter w:val="1"/>
                <w:wAfter w:w="368" w:type="pct"/>
                <w:trHeight w:val="102"/>
                <w:tblCellSpacing w:w="0" w:type="dxa"/>
              </w:trPr>
              <w:tc>
                <w:tcPr>
                  <w:tcW w:w="980" w:type="pct"/>
                  <w:vAlign w:val="center"/>
                </w:tcPr>
                <w:p w14:paraId="236A8D1D" w14:textId="77777777" w:rsidR="00B26F66" w:rsidRPr="0043096A" w:rsidRDefault="00B26F66">
                  <w:r w:rsidRPr="0043096A">
                    <w:t>Long</w:t>
                  </w:r>
                  <w:r w:rsidRPr="0043096A">
                    <w:br/>
                    <w:t xml:space="preserve">Answer </w:t>
                  </w:r>
                </w:p>
              </w:tc>
              <w:tc>
                <w:tcPr>
                  <w:tcW w:w="3652" w:type="pct"/>
                  <w:gridSpan w:val="2"/>
                  <w:vAlign w:val="center"/>
                </w:tcPr>
                <w:p w14:paraId="49B451E6" w14:textId="77777777" w:rsidR="00475417" w:rsidRDefault="00475417">
                  <w:pPr>
                    <w:rPr>
                      <w:color w:val="000000"/>
                    </w:rPr>
                  </w:pPr>
                  <w:r w:rsidRPr="0043096A">
                    <w:rPr>
                      <w:color w:val="000000"/>
                    </w:rPr>
                    <w:t xml:space="preserve">HCFCs already in use, stockpiled for future use, or recovered – and reclaimed when required – from retired or converted equipment may be used indefinitely. New HCFC production is limited, based on 1989 CFC and HCFC levels, and will be decreased in successive steps starting in 2004. It will end for new equipment by 2020 and for service by 2030. The controlled amounts are adjusted to exclude allowed exports, exclude quantities for exempted uses, and add imports. There are exceptions to this answer, for example in countries that have implemented more stringent measures or schedules than stipulated in the Montreal Protocol, most notably several in </w:t>
                  </w:r>
                  <w:smartTag w:uri="urn:schemas-microsoft-com:office:smarttags" w:element="place">
                    <w:r w:rsidRPr="0043096A">
                      <w:rPr>
                        <w:color w:val="000000"/>
                      </w:rPr>
                      <w:t>Europe</w:t>
                    </w:r>
                  </w:smartTag>
                  <w:r w:rsidRPr="0043096A">
                    <w:rPr>
                      <w:color w:val="000000"/>
                    </w:rPr>
                    <w:t xml:space="preserve">. Also, the schedule for developing countries – or more precisely “Article 5 Paragraph 1” countries – is delayed, starting with a production and import freeze in 2016 and ending with phaseout by 2040.The primary HCFC refrigerants are R-22, used in a broad range of applications and currently the most widely used refrigerant, and R-123, the most commonly used refrigerant in centrifugal chillers. Others include R-124 and R-142b, both primarily as blend components. National regulations in </w:t>
                  </w:r>
                  <w:smartTag w:uri="urn:schemas-microsoft-com:office:smarttags" w:element="country-region">
                    <w:r w:rsidRPr="0043096A">
                      <w:rPr>
                        <w:color w:val="000000"/>
                      </w:rPr>
                      <w:t>Canada</w:t>
                    </w:r>
                  </w:smartTag>
                  <w:r w:rsidRPr="0043096A">
                    <w:rPr>
                      <w:color w:val="000000"/>
                    </w:rPr>
                    <w:t xml:space="preserve"> and the </w:t>
                  </w:r>
                  <w:smartTag w:uri="urn:schemas-microsoft-com:office:smarttags" w:element="place">
                    <w:smartTag w:uri="urn:schemas-microsoft-com:office:smarttags" w:element="country-region">
                      <w:r w:rsidRPr="0043096A">
                        <w:rPr>
                          <w:color w:val="000000"/>
                        </w:rPr>
                        <w:t>United States</w:t>
                      </w:r>
                    </w:smartTag>
                  </w:smartTag>
                  <w:r w:rsidRPr="0043096A">
                    <w:rPr>
                      <w:color w:val="000000"/>
                    </w:rPr>
                    <w:t xml:space="preserve"> mandate phaseout of R-22 and R-142b for manufacture of new equipment by 2010 and of all HCFCs for such use by 2020. Those regulations allow limited production for service and stockpiling for service until 2030, consistent with the Montreal Protocol. Some European countries already ban HCFC use in new equipment and even for service of existing equipment.</w:t>
                  </w:r>
                </w:p>
                <w:p w14:paraId="25B6BF85" w14:textId="77777777" w:rsidR="00475417" w:rsidRDefault="00475417">
                  <w:pPr>
                    <w:rPr>
                      <w:color w:val="000000"/>
                    </w:rPr>
                  </w:pPr>
                </w:p>
                <w:p w14:paraId="6EDE186C" w14:textId="77777777" w:rsidR="00571299" w:rsidRPr="0043096A" w:rsidRDefault="00B26F66" w:rsidP="00B95F82">
                  <w:r w:rsidRPr="0043096A">
                    <w:rPr>
                      <w:color w:val="000000"/>
                    </w:rPr>
                    <w:t xml:space="preserve">The Montreal Protocol actually restricts “consumption” rather than use of ozone-depleting substances, but it defines consumption as production plus imports less exports and tightly controlled, exempted uses. By addressing production and international trade rather than use, the Protocol allows each country to determine whether and how to allocate both the limited amounts by application and the production quotas by manufacturer. Those issues exceed the scope of this response, but further information is available from other sources, some of which are identified below. The Protocol placed a limit, often referred to as cap, on HCFC production (actually “consumption” as defined) beginning in 1996 in developed countries. The cap equals 2.8% of CFC plus 100% of HCFC “consumption” in 1989, both weighted by the ozone-depletion potentials (ODPs) of the individual substances. Further reduction steps will follow. Those steps will limit “consumption” to 65% of the cap by 2004, 35% by 2010, 10% by 2015, 0.5% by 2020, and finally 0% (phaseout) by 2030. The 0.5% allowance from 2020 to 2030 explicitly provides for limited production to service existing equipment; it often is referred to as the “HCFC service tail.” The </w:t>
                  </w:r>
                  <w:r w:rsidRPr="0043096A">
                    <w:rPr>
                      <w:color w:val="000000"/>
                    </w:rPr>
                    <w:lastRenderedPageBreak/>
                    <w:t xml:space="preserve">Montreal Protocol does not restrict subsequent use of HCFCs to service existing equipment from quantities stockpiled or in use before production phaseout, though some national regulations do so. It also does not restrict HCFC manufacture as intermediates (feedstocks) to produce other chemicals. The remainder of this response focuses on use of HCFCs as refrigerants rather than for foam blowing, solvent, aerosol propellant, fire suppressant, or other purposes. The regulations on refrigerant phaseouts in </w:t>
                  </w:r>
                  <w:smartTag w:uri="urn:schemas-microsoft-com:office:smarttags" w:element="country-region">
                    <w:r w:rsidRPr="0043096A">
                      <w:rPr>
                        <w:color w:val="000000"/>
                      </w:rPr>
                      <w:t>Canada</w:t>
                    </w:r>
                  </w:smartTag>
                  <w:r w:rsidRPr="0043096A">
                    <w:rPr>
                      <w:color w:val="000000"/>
                    </w:rPr>
                    <w:t xml:space="preserve"> and the </w:t>
                  </w:r>
                  <w:smartTag w:uri="urn:schemas-microsoft-com:office:smarttags" w:element="place">
                    <w:smartTag w:uri="urn:schemas-microsoft-com:office:smarttags" w:element="country-region">
                      <w:r w:rsidRPr="0043096A">
                        <w:rPr>
                          <w:color w:val="000000"/>
                        </w:rPr>
                        <w:t>USA</w:t>
                      </w:r>
                    </w:smartTag>
                  </w:smartTag>
                  <w:r w:rsidRPr="0043096A">
                    <w:rPr>
                      <w:color w:val="000000"/>
                    </w:rPr>
                    <w:t xml:space="preserve"> are similar. They ban production and imports of R-22 and R-142b for new equipment starting in 2010, but allow their continued use to service existing equipment and also their export. These regulations call for production phaseout by 2020, again except for export and very limited, exempted uses such as scientific laboratory studies. Production and import of R-123 and R-124 will end by 2020 for new equipment, but will be allowed to service existing equipment and for export until 2030. Production of HCFCs for export to developing countries will end by 2040. There are no restrictions against future use of HCFCs from legally stockpiled or recovered (including reclaimed) sources for future service, even after 2040. Projected inventories augmented by recovered stocks should be sufficient to meet future service needs with responsible reductions of leaks and with optional use of service fluids in some applications. “Service fluids” refer to substitute refrigerants to meet service needs; they often are blends and typically have lower ODPs – practically zero ODP in some. Regulations are more restrictive in the European Union (EU). Those requirements base the cap on 2.0% of CFC plus 100% of HCFC “consumption” in 1989, both weighted by the ODPs of individual substances. EU regulations reduced use by 15% starting in 2002 and will reduce use by 55% in 2003, 70% in 2004, 75% in 2008, and 100% (phaseout) in 2010. The EU limits also restrict HCFC uses in specific air-conditioning and refrigeration equipment. Several individual European countries further accelerate these schedules and already prohibit use of HCFCs to service some equipment. The following web sites provide more specific information: Montreal Protocol treaty requirements: </w:t>
                  </w:r>
                  <w:hyperlink r:id="rId4" w:history="1">
                    <w:r w:rsidR="00B95F82" w:rsidRPr="00782EDE">
                      <w:rPr>
                        <w:rStyle w:val="Hyperlink"/>
                      </w:rPr>
                      <w:t>http://ozone.unep.org/new_site/en/montreal_protocol.php</w:t>
                    </w:r>
                  </w:hyperlink>
                  <w:r w:rsidR="00B95F82">
                    <w:rPr>
                      <w:color w:val="000000"/>
                    </w:rPr>
                    <w:t xml:space="preserve"> </w:t>
                  </w:r>
                  <w:r w:rsidR="00B95F82">
                    <w:rPr>
                      <w:color w:val="000000"/>
                    </w:rPr>
                    <w:br/>
                  </w:r>
                </w:p>
              </w:tc>
            </w:tr>
            <w:tr w:rsidR="00B26F66" w14:paraId="4BAD00B0" w14:textId="77777777">
              <w:trPr>
                <w:gridAfter w:val="1"/>
                <w:wAfter w:w="368" w:type="pct"/>
                <w:trHeight w:val="212"/>
                <w:tblCellSpacing w:w="0" w:type="dxa"/>
              </w:trPr>
              <w:tc>
                <w:tcPr>
                  <w:tcW w:w="4632" w:type="pct"/>
                  <w:gridSpan w:val="3"/>
                  <w:vAlign w:val="center"/>
                </w:tcPr>
                <w:p w14:paraId="32358E9E" w14:textId="77777777" w:rsidR="00B26F66" w:rsidRPr="0043096A" w:rsidRDefault="003A43C6">
                  <w:r>
                    <w:lastRenderedPageBreak/>
                    <w:pict w14:anchorId="49EA566A">
                      <v:rect id="_x0000_i1028" style="width:0;height:1.5pt" o:hralign="center" o:hrstd="t" o:hr="t" fillcolor="#aca899" stroked="f"/>
                    </w:pict>
                  </w:r>
                </w:p>
              </w:tc>
            </w:tr>
            <w:tr w:rsidR="00B26F66" w14:paraId="2A601EFF" w14:textId="77777777">
              <w:trPr>
                <w:gridAfter w:val="1"/>
                <w:wAfter w:w="368" w:type="pct"/>
                <w:trHeight w:val="396"/>
                <w:tblCellSpacing w:w="0" w:type="dxa"/>
              </w:trPr>
              <w:tc>
                <w:tcPr>
                  <w:tcW w:w="980" w:type="pct"/>
                  <w:vAlign w:val="center"/>
                </w:tcPr>
                <w:p w14:paraId="4700501B" w14:textId="77777777" w:rsidR="00B26F66" w:rsidRPr="0043096A" w:rsidRDefault="00B26F66">
                  <w:r w:rsidRPr="0043096A">
                    <w:t xml:space="preserve">ASHRAE Pubs </w:t>
                  </w:r>
                </w:p>
              </w:tc>
              <w:tc>
                <w:tcPr>
                  <w:tcW w:w="3652" w:type="pct"/>
                  <w:gridSpan w:val="2"/>
                  <w:vAlign w:val="center"/>
                </w:tcPr>
                <w:p w14:paraId="720DF26C" w14:textId="5A865DAD" w:rsidR="008E2F59" w:rsidRDefault="00B26F66">
                  <w:pPr>
                    <w:rPr>
                      <w:color w:val="000000"/>
                    </w:rPr>
                  </w:pPr>
                  <w:r w:rsidRPr="001140FF">
                    <w:rPr>
                      <w:color w:val="000000"/>
                    </w:rPr>
                    <w:br/>
                  </w:r>
                  <w:hyperlink r:id="rId5" w:history="1">
                    <w:r w:rsidR="00406633" w:rsidRPr="001140FF">
                      <w:rPr>
                        <w:rStyle w:val="Hyperlink"/>
                      </w:rPr>
                      <w:t>20</w:t>
                    </w:r>
                    <w:r w:rsidR="0023462B">
                      <w:rPr>
                        <w:rStyle w:val="Hyperlink"/>
                      </w:rPr>
                      <w:t>21</w:t>
                    </w:r>
                    <w:r w:rsidR="00406633" w:rsidRPr="001140FF">
                      <w:rPr>
                        <w:rStyle w:val="Hyperlink"/>
                      </w:rPr>
                      <w:t xml:space="preserve"> ASHRAE Handbook - Fundamentals</w:t>
                    </w:r>
                  </w:hyperlink>
                  <w:r w:rsidRPr="001140FF">
                    <w:rPr>
                      <w:color w:val="000000"/>
                    </w:rPr>
                    <w:t xml:space="preserve">, </w:t>
                  </w:r>
                  <w:hyperlink r:id="rId6" w:history="1">
                    <w:r w:rsidR="00406633" w:rsidRPr="001140FF">
                      <w:rPr>
                        <w:rStyle w:val="Hyperlink"/>
                      </w:rPr>
                      <w:t>Chapter F29</w:t>
                    </w:r>
                  </w:hyperlink>
                  <w:r w:rsidR="00CA39B8">
                    <w:rPr>
                      <w:rStyle w:val="Hyperlink"/>
                    </w:rPr>
                    <w:br/>
                  </w:r>
                  <w:r w:rsidRPr="001140FF">
                    <w:rPr>
                      <w:color w:val="000000"/>
                    </w:rPr>
                    <w:br/>
                  </w:r>
                  <w:hyperlink r:id="rId7" w:history="1">
                    <w:r w:rsidR="00406633" w:rsidRPr="001140FF">
                      <w:rPr>
                        <w:rStyle w:val="Hyperlink"/>
                      </w:rPr>
                      <w:t>20</w:t>
                    </w:r>
                    <w:r w:rsidR="003A43C6">
                      <w:rPr>
                        <w:rStyle w:val="Hyperlink"/>
                      </w:rPr>
                      <w:t>22</w:t>
                    </w:r>
                    <w:r w:rsidR="00406633" w:rsidRPr="001140FF">
                      <w:rPr>
                        <w:rStyle w:val="Hyperlink"/>
                      </w:rPr>
                      <w:t xml:space="preserve"> ASHRAE Handbook - Refrigeration</w:t>
                    </w:r>
                  </w:hyperlink>
                  <w:r w:rsidR="00406633" w:rsidRPr="001140FF">
                    <w:rPr>
                      <w:color w:val="000000"/>
                    </w:rPr>
                    <w:t xml:space="preserve">, </w:t>
                  </w:r>
                  <w:hyperlink r:id="rId8" w:history="1">
                    <w:r w:rsidR="00406633" w:rsidRPr="001140FF">
                      <w:rPr>
                        <w:rStyle w:val="Hyperlink"/>
                      </w:rPr>
                      <w:t xml:space="preserve">Chapter </w:t>
                    </w:r>
                    <w:r w:rsidR="00406633" w:rsidRPr="001140FF">
                      <w:rPr>
                        <w:rStyle w:val="Hyperlink"/>
                      </w:rPr>
                      <w:t>R</w:t>
                    </w:r>
                    <w:r w:rsidR="007E1CF3" w:rsidRPr="001140FF">
                      <w:rPr>
                        <w:rStyle w:val="Hyperlink"/>
                      </w:rPr>
                      <w:t>0</w:t>
                    </w:r>
                    <w:r w:rsidR="003A43C6">
                      <w:rPr>
                        <w:rStyle w:val="Hyperlink"/>
                      </w:rPr>
                      <w:t>8</w:t>
                    </w:r>
                  </w:hyperlink>
                  <w:r w:rsidR="00406633">
                    <w:rPr>
                      <w:color w:val="000000"/>
                    </w:rPr>
                    <w:t xml:space="preserve"> </w:t>
                  </w:r>
                  <w:r w:rsidR="00CA39B8">
                    <w:rPr>
                      <w:color w:val="000000"/>
                    </w:rPr>
                    <w:br/>
                  </w:r>
                </w:p>
                <w:p w14:paraId="1C1A188A" w14:textId="77777777" w:rsidR="00B26F66" w:rsidRDefault="00B26F66">
                  <w:pPr>
                    <w:rPr>
                      <w:color w:val="000000"/>
                    </w:rPr>
                  </w:pPr>
                  <w:r w:rsidRPr="0043096A">
                    <w:rPr>
                      <w:color w:val="000000"/>
                    </w:rPr>
                    <w:t>Refrigerants for the 21st Century (proceedings of the ASHRAE /NIST Conference, Gaithersburg, MD), October 1997</w:t>
                  </w:r>
                  <w:r w:rsidR="00CA39B8">
                    <w:rPr>
                      <w:color w:val="000000"/>
                    </w:rPr>
                    <w:br/>
                  </w:r>
                </w:p>
                <w:p w14:paraId="302C30FD" w14:textId="77777777" w:rsidR="00171605" w:rsidRPr="0043096A" w:rsidRDefault="003A43C6" w:rsidP="00171605">
                  <w:hyperlink r:id="rId9" w:history="1">
                    <w:r w:rsidR="00171605" w:rsidRPr="00171605">
                      <w:rPr>
                        <w:rStyle w:val="Hyperlink"/>
                      </w:rPr>
                      <w:t>ASHRAE/NIST Refrigerants Conference Proceedings – Moving Towards Sustainability</w:t>
                    </w:r>
                  </w:hyperlink>
                </w:p>
              </w:tc>
            </w:tr>
            <w:tr w:rsidR="00B26F66" w14:paraId="2BA15AE9" w14:textId="77777777">
              <w:trPr>
                <w:gridAfter w:val="1"/>
                <w:wAfter w:w="368" w:type="pct"/>
                <w:trHeight w:val="198"/>
                <w:tblCellSpacing w:w="0" w:type="dxa"/>
              </w:trPr>
              <w:tc>
                <w:tcPr>
                  <w:tcW w:w="4632" w:type="pct"/>
                  <w:gridSpan w:val="3"/>
                  <w:vAlign w:val="center"/>
                </w:tcPr>
                <w:p w14:paraId="4491E23F" w14:textId="77777777" w:rsidR="00B26F66" w:rsidRPr="0043096A" w:rsidRDefault="003A43C6">
                  <w:r>
                    <w:pict w14:anchorId="3E02092F">
                      <v:rect id="_x0000_i1029" style="width:0;height:1.5pt" o:hralign="center" o:hrstd="t" o:hr="t" fillcolor="#aca899" stroked="f"/>
                    </w:pict>
                  </w:r>
                </w:p>
              </w:tc>
            </w:tr>
            <w:tr w:rsidR="00B26F66" w14:paraId="544678AB" w14:textId="77777777">
              <w:trPr>
                <w:gridAfter w:val="1"/>
                <w:wAfter w:w="368" w:type="pct"/>
                <w:trHeight w:val="396"/>
                <w:tblCellSpacing w:w="0" w:type="dxa"/>
              </w:trPr>
              <w:tc>
                <w:tcPr>
                  <w:tcW w:w="980" w:type="pct"/>
                  <w:vAlign w:val="center"/>
                </w:tcPr>
                <w:p w14:paraId="6829762F" w14:textId="77777777" w:rsidR="00B26F66" w:rsidRPr="0043096A" w:rsidRDefault="00B26F66">
                  <w:r w:rsidRPr="0043096A">
                    <w:t xml:space="preserve">Topic References </w:t>
                  </w:r>
                </w:p>
              </w:tc>
              <w:tc>
                <w:tcPr>
                  <w:tcW w:w="3652" w:type="pct"/>
                  <w:gridSpan w:val="2"/>
                  <w:vAlign w:val="center"/>
                </w:tcPr>
                <w:p w14:paraId="19A7C53D" w14:textId="77777777" w:rsidR="00B26F66" w:rsidRPr="0043096A" w:rsidRDefault="00B26F66">
                  <w:r w:rsidRPr="0043096A">
                    <w:rPr>
                      <w:color w:val="000000"/>
                    </w:rPr>
                    <w:t>HCFC, phaseout, Montreal Protocol, ODP’s, refrigerant</w:t>
                  </w:r>
                </w:p>
              </w:tc>
            </w:tr>
            <w:tr w:rsidR="00B26F66" w14:paraId="6BD69074" w14:textId="77777777">
              <w:trPr>
                <w:trHeight w:val="198"/>
                <w:tblCellSpacing w:w="0" w:type="dxa"/>
              </w:trPr>
              <w:tc>
                <w:tcPr>
                  <w:tcW w:w="5000" w:type="pct"/>
                  <w:gridSpan w:val="4"/>
                  <w:vAlign w:val="center"/>
                </w:tcPr>
                <w:p w14:paraId="2E902B36" w14:textId="77777777" w:rsidR="00B26F66" w:rsidRDefault="003A43C6">
                  <w:r>
                    <w:lastRenderedPageBreak/>
                    <w:pict w14:anchorId="6F272065">
                      <v:rect id="_x0000_i1030" style="width:0;height:1.5pt" o:hralign="center" o:hrstd="t" o:hr="t" fillcolor="#aca899" stroked="f"/>
                    </w:pict>
                  </w:r>
                </w:p>
              </w:tc>
            </w:tr>
            <w:tr w:rsidR="00B26F66" w14:paraId="368E1016"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14:paraId="1C4C2527" w14:textId="77777777" w:rsidTr="00FB7F85">
                    <w:trPr>
                      <w:trHeight w:val="316"/>
                      <w:jc w:val="center"/>
                    </w:trPr>
                    <w:tc>
                      <w:tcPr>
                        <w:tcW w:w="460" w:type="dxa"/>
                      </w:tcPr>
                      <w:p w14:paraId="2170AA2E" w14:textId="77777777" w:rsidR="00B26F66" w:rsidRDefault="00B26F66"/>
                    </w:tc>
                    <w:tc>
                      <w:tcPr>
                        <w:tcW w:w="3600" w:type="dxa"/>
                      </w:tcPr>
                      <w:p w14:paraId="7A3D59E2" w14:textId="77777777" w:rsidR="00B26F66" w:rsidRDefault="00B26F66">
                        <w:r>
                          <w:t>Cognizant ASHRAE Committees</w:t>
                        </w:r>
                      </w:p>
                    </w:tc>
                    <w:tc>
                      <w:tcPr>
                        <w:tcW w:w="2520" w:type="dxa"/>
                      </w:tcPr>
                      <w:p w14:paraId="1EAE35A1" w14:textId="77777777" w:rsidR="00B26F66" w:rsidRDefault="00B26F66">
                        <w:r>
                          <w:t>Refer to Organization</w:t>
                        </w:r>
                      </w:p>
                    </w:tc>
                  </w:tr>
                  <w:tr w:rsidR="00B26F66" w14:paraId="30F6850E" w14:textId="77777777" w:rsidTr="00FB7F85">
                    <w:trPr>
                      <w:trHeight w:val="293"/>
                      <w:jc w:val="center"/>
                    </w:trPr>
                    <w:tc>
                      <w:tcPr>
                        <w:tcW w:w="460" w:type="dxa"/>
                      </w:tcPr>
                      <w:p w14:paraId="3039FD78" w14:textId="77777777" w:rsidR="00B26F66" w:rsidRDefault="00B26F66">
                        <w:r>
                          <w:t>1</w:t>
                        </w:r>
                      </w:p>
                    </w:tc>
                    <w:tc>
                      <w:tcPr>
                        <w:tcW w:w="3600" w:type="dxa"/>
                      </w:tcPr>
                      <w:p w14:paraId="3BBDB631" w14:textId="77777777" w:rsidR="00B26F66" w:rsidRPr="00F46528" w:rsidRDefault="003A43C6">
                        <w:hyperlink r:id="rId10" w:history="1">
                          <w:r w:rsidR="00B26F66" w:rsidRPr="00F46528">
                            <w:rPr>
                              <w:rStyle w:val="Hyperlink"/>
                            </w:rPr>
                            <w:t>TC 2.5</w:t>
                          </w:r>
                        </w:hyperlink>
                      </w:p>
                    </w:tc>
                    <w:tc>
                      <w:tcPr>
                        <w:tcW w:w="2520" w:type="dxa"/>
                      </w:tcPr>
                      <w:p w14:paraId="78034838" w14:textId="77777777" w:rsidR="00B26F66" w:rsidRDefault="00B26F66"/>
                    </w:tc>
                  </w:tr>
                  <w:tr w:rsidR="00B26F66" w14:paraId="3027500A" w14:textId="77777777" w:rsidTr="00FB7F85">
                    <w:trPr>
                      <w:trHeight w:val="293"/>
                      <w:jc w:val="center"/>
                    </w:trPr>
                    <w:tc>
                      <w:tcPr>
                        <w:tcW w:w="460" w:type="dxa"/>
                      </w:tcPr>
                      <w:p w14:paraId="7C5B3589" w14:textId="77777777" w:rsidR="00B26F66" w:rsidRDefault="00B26F66">
                        <w:r>
                          <w:t>2</w:t>
                        </w:r>
                      </w:p>
                    </w:tc>
                    <w:tc>
                      <w:tcPr>
                        <w:tcW w:w="3600" w:type="dxa"/>
                      </w:tcPr>
                      <w:p w14:paraId="5221C599" w14:textId="77777777" w:rsidR="00B26F66" w:rsidRPr="00F46528" w:rsidRDefault="003A43C6">
                        <w:hyperlink r:id="rId11" w:history="1">
                          <w:r w:rsidR="00406633" w:rsidRPr="00F46528">
                            <w:rPr>
                              <w:rStyle w:val="Hyperlink"/>
                            </w:rPr>
                            <w:t>TC 3.1</w:t>
                          </w:r>
                        </w:hyperlink>
                      </w:p>
                    </w:tc>
                    <w:tc>
                      <w:tcPr>
                        <w:tcW w:w="2520" w:type="dxa"/>
                      </w:tcPr>
                      <w:p w14:paraId="74A67018" w14:textId="77777777" w:rsidR="00B26F66" w:rsidRDefault="00B26F66"/>
                    </w:tc>
                  </w:tr>
                  <w:tr w:rsidR="00B26F66" w14:paraId="6E8C1792" w14:textId="77777777" w:rsidTr="00FB7F85">
                    <w:trPr>
                      <w:trHeight w:val="293"/>
                      <w:jc w:val="center"/>
                    </w:trPr>
                    <w:tc>
                      <w:tcPr>
                        <w:tcW w:w="460" w:type="dxa"/>
                      </w:tcPr>
                      <w:p w14:paraId="6F366B44" w14:textId="77777777" w:rsidR="00B26F66" w:rsidRDefault="00B26F66">
                        <w:r>
                          <w:t>3</w:t>
                        </w:r>
                      </w:p>
                    </w:tc>
                    <w:tc>
                      <w:tcPr>
                        <w:tcW w:w="3600" w:type="dxa"/>
                      </w:tcPr>
                      <w:p w14:paraId="15BE1587" w14:textId="77777777" w:rsidR="00B26F66" w:rsidRDefault="00B26F66"/>
                    </w:tc>
                    <w:tc>
                      <w:tcPr>
                        <w:tcW w:w="2520" w:type="dxa"/>
                      </w:tcPr>
                      <w:p w14:paraId="384C9F68" w14:textId="77777777" w:rsidR="00B26F66" w:rsidRDefault="00B26F66"/>
                    </w:tc>
                  </w:tr>
                  <w:tr w:rsidR="00B26F66" w14:paraId="69FE5130" w14:textId="77777777" w:rsidTr="00FB7F85">
                    <w:trPr>
                      <w:trHeight w:val="316"/>
                      <w:jc w:val="center"/>
                    </w:trPr>
                    <w:tc>
                      <w:tcPr>
                        <w:tcW w:w="460" w:type="dxa"/>
                      </w:tcPr>
                      <w:p w14:paraId="0F711E20" w14:textId="77777777" w:rsidR="00B26F66" w:rsidRDefault="00B26F66">
                        <w:r>
                          <w:t>4</w:t>
                        </w:r>
                      </w:p>
                    </w:tc>
                    <w:tc>
                      <w:tcPr>
                        <w:tcW w:w="3600" w:type="dxa"/>
                      </w:tcPr>
                      <w:p w14:paraId="019D5C43" w14:textId="77777777" w:rsidR="00B26F66" w:rsidRDefault="00B26F66"/>
                    </w:tc>
                    <w:tc>
                      <w:tcPr>
                        <w:tcW w:w="2520" w:type="dxa"/>
                      </w:tcPr>
                      <w:p w14:paraId="0CE93762" w14:textId="77777777" w:rsidR="00B26F66" w:rsidRDefault="00B26F66"/>
                    </w:tc>
                  </w:tr>
                  <w:tr w:rsidR="00B26F66" w14:paraId="3C6757BD" w14:textId="77777777" w:rsidTr="00FB7F85">
                    <w:trPr>
                      <w:trHeight w:val="316"/>
                      <w:jc w:val="center"/>
                    </w:trPr>
                    <w:tc>
                      <w:tcPr>
                        <w:tcW w:w="460" w:type="dxa"/>
                      </w:tcPr>
                      <w:p w14:paraId="5C7D98AE" w14:textId="77777777" w:rsidR="00B26F66" w:rsidRDefault="00B26F66">
                        <w:r>
                          <w:t>5</w:t>
                        </w:r>
                      </w:p>
                    </w:tc>
                    <w:tc>
                      <w:tcPr>
                        <w:tcW w:w="3600" w:type="dxa"/>
                      </w:tcPr>
                      <w:p w14:paraId="5957457E" w14:textId="77777777" w:rsidR="00B26F66" w:rsidRDefault="00B26F66"/>
                    </w:tc>
                    <w:tc>
                      <w:tcPr>
                        <w:tcW w:w="2520" w:type="dxa"/>
                      </w:tcPr>
                      <w:p w14:paraId="0411DD66" w14:textId="77777777" w:rsidR="00B26F66" w:rsidRDefault="00B26F66"/>
                    </w:tc>
                  </w:tr>
                </w:tbl>
                <w:p w14:paraId="639DC4A6" w14:textId="77777777" w:rsidR="00B26F66" w:rsidRDefault="00B26F66"/>
              </w:tc>
            </w:tr>
            <w:tr w:rsidR="00B26F66" w14:paraId="7D4A3964" w14:textId="77777777">
              <w:trPr>
                <w:trHeight w:val="212"/>
                <w:tblCellSpacing w:w="0" w:type="dxa"/>
              </w:trPr>
              <w:tc>
                <w:tcPr>
                  <w:tcW w:w="5000" w:type="pct"/>
                  <w:gridSpan w:val="4"/>
                  <w:vAlign w:val="center"/>
                </w:tcPr>
                <w:p w14:paraId="030BF888" w14:textId="77777777" w:rsidR="00B26F66" w:rsidRDefault="00B26F66"/>
              </w:tc>
            </w:tr>
          </w:tbl>
          <w:p w14:paraId="2388B62E" w14:textId="77777777" w:rsidR="00B26F66" w:rsidRDefault="00B26F66"/>
        </w:tc>
        <w:tc>
          <w:tcPr>
            <w:tcW w:w="0" w:type="auto"/>
            <w:vAlign w:val="center"/>
          </w:tcPr>
          <w:p w14:paraId="4EC1CF10" w14:textId="77777777" w:rsidR="00B26F66" w:rsidRDefault="00B26F66">
            <w:pPr>
              <w:rPr>
                <w:sz w:val="20"/>
                <w:szCs w:val="20"/>
              </w:rPr>
            </w:pPr>
          </w:p>
        </w:tc>
      </w:tr>
    </w:tbl>
    <w:p w14:paraId="108F5C44" w14:textId="77777777" w:rsidR="00B26F66" w:rsidRPr="005E4570" w:rsidRDefault="00B26F66">
      <w:pPr>
        <w:rPr>
          <w:rFonts w:ascii="Arial" w:hAnsi="Arial" w:cs="Arial"/>
        </w:rPr>
      </w:pPr>
    </w:p>
    <w:sectPr w:rsidR="00B26F66"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3EC8"/>
    <w:rsid w:val="000142F9"/>
    <w:rsid w:val="00026B8D"/>
    <w:rsid w:val="000405EC"/>
    <w:rsid w:val="00043D6E"/>
    <w:rsid w:val="0005555B"/>
    <w:rsid w:val="00055DC5"/>
    <w:rsid w:val="000A4C5E"/>
    <w:rsid w:val="000B1E64"/>
    <w:rsid w:val="000C17CC"/>
    <w:rsid w:val="000C3D1F"/>
    <w:rsid w:val="000C7C12"/>
    <w:rsid w:val="000D61FB"/>
    <w:rsid w:val="000E41B2"/>
    <w:rsid w:val="000E46C8"/>
    <w:rsid w:val="000E4A46"/>
    <w:rsid w:val="00105431"/>
    <w:rsid w:val="00111AD9"/>
    <w:rsid w:val="001140FF"/>
    <w:rsid w:val="00133B32"/>
    <w:rsid w:val="00136D1C"/>
    <w:rsid w:val="0014268F"/>
    <w:rsid w:val="001538C4"/>
    <w:rsid w:val="00167169"/>
    <w:rsid w:val="00171605"/>
    <w:rsid w:val="00176F30"/>
    <w:rsid w:val="00177D55"/>
    <w:rsid w:val="001935DF"/>
    <w:rsid w:val="0019749A"/>
    <w:rsid w:val="001B7130"/>
    <w:rsid w:val="001F0C26"/>
    <w:rsid w:val="002051F5"/>
    <w:rsid w:val="0020535B"/>
    <w:rsid w:val="002173A6"/>
    <w:rsid w:val="00227822"/>
    <w:rsid w:val="0023462B"/>
    <w:rsid w:val="00252728"/>
    <w:rsid w:val="00257E60"/>
    <w:rsid w:val="002703A5"/>
    <w:rsid w:val="00271495"/>
    <w:rsid w:val="0027767A"/>
    <w:rsid w:val="002779BB"/>
    <w:rsid w:val="00281782"/>
    <w:rsid w:val="002825E3"/>
    <w:rsid w:val="002B0D3F"/>
    <w:rsid w:val="002B6692"/>
    <w:rsid w:val="002C6A17"/>
    <w:rsid w:val="002E45EC"/>
    <w:rsid w:val="002F4E1B"/>
    <w:rsid w:val="002F6C9C"/>
    <w:rsid w:val="003117BC"/>
    <w:rsid w:val="003121B2"/>
    <w:rsid w:val="003154F9"/>
    <w:rsid w:val="00343F60"/>
    <w:rsid w:val="0034419D"/>
    <w:rsid w:val="00347546"/>
    <w:rsid w:val="003478DA"/>
    <w:rsid w:val="00354FC9"/>
    <w:rsid w:val="00356BED"/>
    <w:rsid w:val="00357E79"/>
    <w:rsid w:val="003857A7"/>
    <w:rsid w:val="003A0081"/>
    <w:rsid w:val="003A1FF8"/>
    <w:rsid w:val="003A2FCC"/>
    <w:rsid w:val="003A43C6"/>
    <w:rsid w:val="003A7837"/>
    <w:rsid w:val="003B7412"/>
    <w:rsid w:val="003C4E8B"/>
    <w:rsid w:val="003D4ED5"/>
    <w:rsid w:val="003F582C"/>
    <w:rsid w:val="0040222F"/>
    <w:rsid w:val="00406633"/>
    <w:rsid w:val="004138CF"/>
    <w:rsid w:val="004265F2"/>
    <w:rsid w:val="004275F8"/>
    <w:rsid w:val="00435136"/>
    <w:rsid w:val="00437DC1"/>
    <w:rsid w:val="004424C2"/>
    <w:rsid w:val="004466ED"/>
    <w:rsid w:val="0044728F"/>
    <w:rsid w:val="004543E1"/>
    <w:rsid w:val="00454431"/>
    <w:rsid w:val="00460FE3"/>
    <w:rsid w:val="00475417"/>
    <w:rsid w:val="004816F2"/>
    <w:rsid w:val="004A37B0"/>
    <w:rsid w:val="004A4C42"/>
    <w:rsid w:val="004B7D56"/>
    <w:rsid w:val="004F534E"/>
    <w:rsid w:val="00526CA2"/>
    <w:rsid w:val="00536422"/>
    <w:rsid w:val="005373C0"/>
    <w:rsid w:val="00554020"/>
    <w:rsid w:val="00555DE5"/>
    <w:rsid w:val="005614FF"/>
    <w:rsid w:val="00571299"/>
    <w:rsid w:val="00571372"/>
    <w:rsid w:val="00573B26"/>
    <w:rsid w:val="005750B3"/>
    <w:rsid w:val="00575DE3"/>
    <w:rsid w:val="00581D07"/>
    <w:rsid w:val="005845FA"/>
    <w:rsid w:val="005C2DAE"/>
    <w:rsid w:val="005C3B4D"/>
    <w:rsid w:val="005D5A07"/>
    <w:rsid w:val="005D60B9"/>
    <w:rsid w:val="005E4570"/>
    <w:rsid w:val="005F09FF"/>
    <w:rsid w:val="005F5381"/>
    <w:rsid w:val="005F6297"/>
    <w:rsid w:val="006342C5"/>
    <w:rsid w:val="00634806"/>
    <w:rsid w:val="00650ACA"/>
    <w:rsid w:val="00654562"/>
    <w:rsid w:val="006737EC"/>
    <w:rsid w:val="006A394D"/>
    <w:rsid w:val="006B4FBD"/>
    <w:rsid w:val="006B57C8"/>
    <w:rsid w:val="006B6767"/>
    <w:rsid w:val="006C4140"/>
    <w:rsid w:val="006E623D"/>
    <w:rsid w:val="006F2C88"/>
    <w:rsid w:val="006F48B2"/>
    <w:rsid w:val="00700B7C"/>
    <w:rsid w:val="007017C3"/>
    <w:rsid w:val="00706381"/>
    <w:rsid w:val="0071427D"/>
    <w:rsid w:val="00714365"/>
    <w:rsid w:val="00724256"/>
    <w:rsid w:val="0073616E"/>
    <w:rsid w:val="007467D8"/>
    <w:rsid w:val="00757A1E"/>
    <w:rsid w:val="007630B1"/>
    <w:rsid w:val="007712CD"/>
    <w:rsid w:val="007776A6"/>
    <w:rsid w:val="0078711F"/>
    <w:rsid w:val="007B0644"/>
    <w:rsid w:val="007B13FA"/>
    <w:rsid w:val="007B4575"/>
    <w:rsid w:val="007D4461"/>
    <w:rsid w:val="007D767C"/>
    <w:rsid w:val="007E1CF3"/>
    <w:rsid w:val="007F3B30"/>
    <w:rsid w:val="00805C24"/>
    <w:rsid w:val="00812BE4"/>
    <w:rsid w:val="00813A3D"/>
    <w:rsid w:val="00830AF5"/>
    <w:rsid w:val="008462B8"/>
    <w:rsid w:val="00850063"/>
    <w:rsid w:val="0087000C"/>
    <w:rsid w:val="008701B3"/>
    <w:rsid w:val="00881807"/>
    <w:rsid w:val="00891043"/>
    <w:rsid w:val="00894205"/>
    <w:rsid w:val="008A1C67"/>
    <w:rsid w:val="008A5008"/>
    <w:rsid w:val="008A784F"/>
    <w:rsid w:val="008B3AE9"/>
    <w:rsid w:val="008C0BEF"/>
    <w:rsid w:val="008C5134"/>
    <w:rsid w:val="008D2B09"/>
    <w:rsid w:val="008D5447"/>
    <w:rsid w:val="008E2F59"/>
    <w:rsid w:val="008E7528"/>
    <w:rsid w:val="00905825"/>
    <w:rsid w:val="00931EEA"/>
    <w:rsid w:val="00944566"/>
    <w:rsid w:val="00946D49"/>
    <w:rsid w:val="009515BA"/>
    <w:rsid w:val="00954341"/>
    <w:rsid w:val="00961F04"/>
    <w:rsid w:val="00985209"/>
    <w:rsid w:val="00990BE1"/>
    <w:rsid w:val="009A0BC4"/>
    <w:rsid w:val="009B6C9C"/>
    <w:rsid w:val="009C1218"/>
    <w:rsid w:val="009D09C4"/>
    <w:rsid w:val="009F0A2B"/>
    <w:rsid w:val="00A0432D"/>
    <w:rsid w:val="00A07B27"/>
    <w:rsid w:val="00A10D2D"/>
    <w:rsid w:val="00A35BBF"/>
    <w:rsid w:val="00A41EB6"/>
    <w:rsid w:val="00A428DA"/>
    <w:rsid w:val="00A42B5B"/>
    <w:rsid w:val="00A4684A"/>
    <w:rsid w:val="00A479A0"/>
    <w:rsid w:val="00A731E6"/>
    <w:rsid w:val="00A83D39"/>
    <w:rsid w:val="00AE1629"/>
    <w:rsid w:val="00AF77C5"/>
    <w:rsid w:val="00B02942"/>
    <w:rsid w:val="00B03616"/>
    <w:rsid w:val="00B0665D"/>
    <w:rsid w:val="00B23A11"/>
    <w:rsid w:val="00B26F66"/>
    <w:rsid w:val="00B439CB"/>
    <w:rsid w:val="00B46DED"/>
    <w:rsid w:val="00B518D4"/>
    <w:rsid w:val="00B51FB5"/>
    <w:rsid w:val="00B60F8A"/>
    <w:rsid w:val="00B662F7"/>
    <w:rsid w:val="00B76549"/>
    <w:rsid w:val="00B901B4"/>
    <w:rsid w:val="00B95F82"/>
    <w:rsid w:val="00BA430A"/>
    <w:rsid w:val="00BA6202"/>
    <w:rsid w:val="00BB7846"/>
    <w:rsid w:val="00BC52D5"/>
    <w:rsid w:val="00BC784B"/>
    <w:rsid w:val="00BD3079"/>
    <w:rsid w:val="00BD3FC3"/>
    <w:rsid w:val="00BE505D"/>
    <w:rsid w:val="00BF31F7"/>
    <w:rsid w:val="00C164C6"/>
    <w:rsid w:val="00C24D36"/>
    <w:rsid w:val="00C41BCD"/>
    <w:rsid w:val="00C659F8"/>
    <w:rsid w:val="00C7107C"/>
    <w:rsid w:val="00CA39B8"/>
    <w:rsid w:val="00CB0012"/>
    <w:rsid w:val="00CE0D06"/>
    <w:rsid w:val="00D1154F"/>
    <w:rsid w:val="00D30DFC"/>
    <w:rsid w:val="00D34EBB"/>
    <w:rsid w:val="00D35BE4"/>
    <w:rsid w:val="00D4058C"/>
    <w:rsid w:val="00D52DA1"/>
    <w:rsid w:val="00D829FF"/>
    <w:rsid w:val="00DA0AA0"/>
    <w:rsid w:val="00DA2376"/>
    <w:rsid w:val="00DC7123"/>
    <w:rsid w:val="00DD073D"/>
    <w:rsid w:val="00DE21F3"/>
    <w:rsid w:val="00DF0848"/>
    <w:rsid w:val="00E11623"/>
    <w:rsid w:val="00E16CD2"/>
    <w:rsid w:val="00E27DD7"/>
    <w:rsid w:val="00E33E07"/>
    <w:rsid w:val="00E36E9E"/>
    <w:rsid w:val="00E57ACB"/>
    <w:rsid w:val="00E62952"/>
    <w:rsid w:val="00E83E50"/>
    <w:rsid w:val="00E86038"/>
    <w:rsid w:val="00EA3DD3"/>
    <w:rsid w:val="00EB72AB"/>
    <w:rsid w:val="00EB7677"/>
    <w:rsid w:val="00EF1683"/>
    <w:rsid w:val="00EF33A2"/>
    <w:rsid w:val="00F00D4E"/>
    <w:rsid w:val="00F033B0"/>
    <w:rsid w:val="00F0454E"/>
    <w:rsid w:val="00F070C1"/>
    <w:rsid w:val="00F16773"/>
    <w:rsid w:val="00F200D0"/>
    <w:rsid w:val="00F20FB8"/>
    <w:rsid w:val="00F455AD"/>
    <w:rsid w:val="00F46528"/>
    <w:rsid w:val="00F544EB"/>
    <w:rsid w:val="00F62AEB"/>
    <w:rsid w:val="00F64BF0"/>
    <w:rsid w:val="00F76334"/>
    <w:rsid w:val="00F87508"/>
    <w:rsid w:val="00F87B2D"/>
    <w:rsid w:val="00FA5F51"/>
    <w:rsid w:val="00FB506A"/>
    <w:rsid w:val="00FB639A"/>
    <w:rsid w:val="00FB7F85"/>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282DAF90"/>
  <w15:chartTrackingRefBased/>
  <w15:docId w15:val="{AC231AD3-B9BB-42FD-AFAA-58822B5E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6F66"/>
    <w:rPr>
      <w:color w:val="0000FF"/>
      <w:u w:val="single"/>
    </w:rPr>
  </w:style>
  <w:style w:type="character" w:styleId="FollowedHyperlink">
    <w:name w:val="FollowedHyperlink"/>
    <w:basedOn w:val="DefaultParagraphFont"/>
    <w:rsid w:val="00B60F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r08-equipment-and-system-dehydrating-charging-and-testing-i-p?product_id=2573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echstreet.com/ashrae/standards/2022-ashrae-handbook-refrigeration-i-p?product_id=22256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street.com/ashrae/standards/f29-refrigerants-i-p?product_id=2225718" TargetMode="External"/><Relationship Id="rId11" Type="http://schemas.openxmlformats.org/officeDocument/2006/relationships/hyperlink" Target="http://tc0301.ashraetcs.org/" TargetMode="External"/><Relationship Id="rId5" Type="http://schemas.openxmlformats.org/officeDocument/2006/relationships/hyperlink" Target="https://www.techstreet.com/ashrae/standards/2021-ashrae-handbook-fundamentals-i-p?product_id=2224991" TargetMode="External"/><Relationship Id="rId10" Type="http://schemas.openxmlformats.org/officeDocument/2006/relationships/hyperlink" Target="http://tc0205.ashraetcs.org/" TargetMode="External"/><Relationship Id="rId4" Type="http://schemas.openxmlformats.org/officeDocument/2006/relationships/hyperlink" Target="http://ozone.unep.org/new_site/en/montreal_protocol.php" TargetMode="External"/><Relationship Id="rId9" Type="http://schemas.openxmlformats.org/officeDocument/2006/relationships/hyperlink" Target="http://www.techstreet.com/ashrae/products/1845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6376</CharactersWithSpaces>
  <SharedDoc>false</SharedDoc>
  <HLinks>
    <vt:vector size="84" baseType="variant">
      <vt:variant>
        <vt:i4>3539004</vt:i4>
      </vt:variant>
      <vt:variant>
        <vt:i4>39</vt:i4>
      </vt:variant>
      <vt:variant>
        <vt:i4>0</vt:i4>
      </vt:variant>
      <vt:variant>
        <vt:i4>5</vt:i4>
      </vt:variant>
      <vt:variant>
        <vt:lpwstr>http://tc31.ashraetcs.org/</vt:lpwstr>
      </vt:variant>
      <vt:variant>
        <vt:lpwstr/>
      </vt:variant>
      <vt:variant>
        <vt:i4>3604536</vt:i4>
      </vt:variant>
      <vt:variant>
        <vt:i4>36</vt:i4>
      </vt:variant>
      <vt:variant>
        <vt:i4>0</vt:i4>
      </vt:variant>
      <vt:variant>
        <vt:i4>5</vt:i4>
      </vt:variant>
      <vt:variant>
        <vt:lpwstr>http://tc25.ashraetcs.org/</vt:lpwstr>
      </vt:variant>
      <vt:variant>
        <vt:lpwstr/>
      </vt:variant>
      <vt:variant>
        <vt:i4>2621454</vt:i4>
      </vt:variant>
      <vt:variant>
        <vt:i4>33</vt:i4>
      </vt:variant>
      <vt:variant>
        <vt:i4>0</vt:i4>
      </vt:variant>
      <vt:variant>
        <vt:i4>5</vt:i4>
      </vt:variant>
      <vt:variant>
        <vt:lpwstr>http://www.techstreet.com/cgi-bin/detail?product_id=1720577</vt:lpwstr>
      </vt:variant>
      <vt:variant>
        <vt:lpwstr/>
      </vt:variant>
      <vt:variant>
        <vt:i4>2949132</vt:i4>
      </vt:variant>
      <vt:variant>
        <vt:i4>30</vt:i4>
      </vt:variant>
      <vt:variant>
        <vt:i4>0</vt:i4>
      </vt:variant>
      <vt:variant>
        <vt:i4>5</vt:i4>
      </vt:variant>
      <vt:variant>
        <vt:lpwstr>http://www.techstreet.com/cgi-bin/detail?product_id=1703515</vt:lpwstr>
      </vt:variant>
      <vt:variant>
        <vt:lpwstr/>
      </vt:variant>
      <vt:variant>
        <vt:i4>1900601</vt:i4>
      </vt:variant>
      <vt:variant>
        <vt:i4>27</vt:i4>
      </vt:variant>
      <vt:variant>
        <vt:i4>0</vt:i4>
      </vt:variant>
      <vt:variant>
        <vt:i4>5</vt:i4>
      </vt:variant>
      <vt:variant>
        <vt:lpwstr>http://www.techstreet.com/standards/ashrae/f29_2009_i_p_?product_id=1652736</vt:lpwstr>
      </vt:variant>
      <vt:variant>
        <vt:lpwstr/>
      </vt:variant>
      <vt:variant>
        <vt:i4>3014664</vt:i4>
      </vt:variant>
      <vt:variant>
        <vt:i4>24</vt:i4>
      </vt:variant>
      <vt:variant>
        <vt:i4>0</vt:i4>
      </vt:variant>
      <vt:variant>
        <vt:i4>5</vt:i4>
      </vt:variant>
      <vt:variant>
        <vt:lpwstr>http://www.techstreet.com/cgi-bin/detail?product_id=1626368</vt:lpwstr>
      </vt:variant>
      <vt:variant>
        <vt:lpwstr/>
      </vt:variant>
      <vt:variant>
        <vt:i4>3080262</vt:i4>
      </vt:variant>
      <vt:variant>
        <vt:i4>21</vt:i4>
      </vt:variant>
      <vt:variant>
        <vt:i4>0</vt:i4>
      </vt:variant>
      <vt:variant>
        <vt:i4>5</vt:i4>
      </vt:variant>
      <vt:variant>
        <vt:lpwstr>http://www.ashrae.org/File Library/docLib/About Us/PositionDocuments/ASHRAE_PD_Ozone_depleting_Substances_2011.pdf</vt:lpwstr>
      </vt:variant>
      <vt:variant>
        <vt:lpwstr/>
      </vt:variant>
      <vt:variant>
        <vt:i4>5111887</vt:i4>
      </vt:variant>
      <vt:variant>
        <vt:i4>18</vt:i4>
      </vt:variant>
      <vt:variant>
        <vt:i4>0</vt:i4>
      </vt:variant>
      <vt:variant>
        <vt:i4>5</vt:i4>
      </vt:variant>
      <vt:variant>
        <vt:lpwstr>http://www.arap.org/regs</vt:lpwstr>
      </vt:variant>
      <vt:variant>
        <vt:lpwstr/>
      </vt:variant>
      <vt:variant>
        <vt:i4>2687085</vt:i4>
      </vt:variant>
      <vt:variant>
        <vt:i4>15</vt:i4>
      </vt:variant>
      <vt:variant>
        <vt:i4>0</vt:i4>
      </vt:variant>
      <vt:variant>
        <vt:i4>5</vt:i4>
      </vt:variant>
      <vt:variant>
        <vt:lpwstr>http://www.epa.gov/ozone/title6/phaseout/hcfc.html</vt:lpwstr>
      </vt:variant>
      <vt:variant>
        <vt:lpwstr/>
      </vt:variant>
      <vt:variant>
        <vt:i4>5505047</vt:i4>
      </vt:variant>
      <vt:variant>
        <vt:i4>12</vt:i4>
      </vt:variant>
      <vt:variant>
        <vt:i4>0</vt:i4>
      </vt:variant>
      <vt:variant>
        <vt:i4>5</vt:i4>
      </vt:variant>
      <vt:variant>
        <vt:lpwstr>http://www.ec.gc.ca/ozone/tocregs.htm</vt:lpwstr>
      </vt:variant>
      <vt:variant>
        <vt:lpwstr/>
      </vt:variant>
      <vt:variant>
        <vt:i4>7208993</vt:i4>
      </vt:variant>
      <vt:variant>
        <vt:i4>9</vt:i4>
      </vt:variant>
      <vt:variant>
        <vt:i4>0</vt:i4>
      </vt:variant>
      <vt:variant>
        <vt:i4>5</vt:i4>
      </vt:variant>
      <vt:variant>
        <vt:lpwstr>http://www.uneptie.org/ozonaction.html</vt:lpwstr>
      </vt:variant>
      <vt:variant>
        <vt:lpwstr/>
      </vt:variant>
      <vt:variant>
        <vt:i4>6029382</vt:i4>
      </vt:variant>
      <vt:variant>
        <vt:i4>6</vt:i4>
      </vt:variant>
      <vt:variant>
        <vt:i4>0</vt:i4>
      </vt:variant>
      <vt:variant>
        <vt:i4>5</vt:i4>
      </vt:variant>
      <vt:variant>
        <vt:lpwstr>http://www.unep.org/ozone</vt:lpwstr>
      </vt:variant>
      <vt:variant>
        <vt:lpwstr/>
      </vt:variant>
      <vt:variant>
        <vt:i4>5242948</vt:i4>
      </vt:variant>
      <vt:variant>
        <vt:i4>3</vt:i4>
      </vt:variant>
      <vt:variant>
        <vt:i4>0</vt:i4>
      </vt:variant>
      <vt:variant>
        <vt:i4>5</vt:i4>
      </vt:variant>
      <vt:variant>
        <vt:lpwstr>http://www.unep.org/ozone/ratif.shtml</vt:lpwstr>
      </vt:variant>
      <vt:variant>
        <vt:lpwstr/>
      </vt:variant>
      <vt:variant>
        <vt:i4>1114120</vt:i4>
      </vt:variant>
      <vt:variant>
        <vt:i4>0</vt:i4>
      </vt:variant>
      <vt:variant>
        <vt:i4>0</vt:i4>
      </vt:variant>
      <vt:variant>
        <vt:i4>5</vt:i4>
      </vt:variant>
      <vt:variant>
        <vt:lpwstr>http://www.unep.org/ozone/treaties.shtml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5</cp:revision>
  <cp:lastPrinted>2014-05-27T18:46:00Z</cp:lastPrinted>
  <dcterms:created xsi:type="dcterms:W3CDTF">2014-05-27T18:46:00Z</dcterms:created>
  <dcterms:modified xsi:type="dcterms:W3CDTF">2023-10-20T02:37:00Z</dcterms:modified>
</cp:coreProperties>
</file>