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9"/>
        <w:gridCol w:w="6"/>
      </w:tblGrid>
      <w:tr w:rsidR="00B26F66" w14:paraId="5C194074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BB6BA62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2A622DE4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419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039"/>
              <w:gridCol w:w="7548"/>
              <w:gridCol w:w="65"/>
              <w:gridCol w:w="767"/>
            </w:tblGrid>
            <w:tr w:rsidR="00B26F66" w14:paraId="28FFBB75" w14:textId="77777777" w:rsidTr="0070597D">
              <w:trPr>
                <w:trHeight w:val="103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FCA8FE9" w14:textId="77777777" w:rsidR="00B26F66" w:rsidRDefault="00442E1D">
                  <w:r>
                    <w:pict w14:anchorId="476405DC">
                      <v:rect id="_x0000_i1049" style="width:0;height:1.5pt" o:hralign="center" o:hrstd="t" o:hr="t" fillcolor="#aca899" stroked="f"/>
                    </w:pict>
                  </w:r>
                </w:p>
              </w:tc>
            </w:tr>
            <w:tr w:rsidR="00B26F66" w14:paraId="24854BEC" w14:textId="77777777" w:rsidTr="0070597D">
              <w:trPr>
                <w:gridAfter w:val="1"/>
                <w:wAfter w:w="369" w:type="pct"/>
                <w:trHeight w:val="103"/>
                <w:tblCellSpacing w:w="0" w:type="dxa"/>
              </w:trPr>
              <w:tc>
                <w:tcPr>
                  <w:tcW w:w="979" w:type="pct"/>
                  <w:vAlign w:val="center"/>
                </w:tcPr>
                <w:p w14:paraId="75C73ADD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72A156F" w14:textId="77777777" w:rsidR="00B26F66" w:rsidRDefault="00B26F66">
                  <w:r>
                    <w:t>18</w:t>
                  </w:r>
                </w:p>
              </w:tc>
            </w:tr>
            <w:tr w:rsidR="00B26F66" w14:paraId="28DB707F" w14:textId="77777777" w:rsidTr="0070597D">
              <w:trPr>
                <w:gridAfter w:val="1"/>
                <w:wAfter w:w="368" w:type="pct"/>
                <w:trHeight w:val="103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8BE554F" w14:textId="77777777" w:rsidR="00B26F66" w:rsidRDefault="00442E1D">
                  <w:r>
                    <w:pict w14:anchorId="6341998B">
                      <v:rect id="_x0000_i1050" style="width:0;height:1.5pt" o:hralign="center" o:hrstd="t" o:hr="t" fillcolor="#aca899" stroked="f"/>
                    </w:pict>
                  </w:r>
                </w:p>
              </w:tc>
            </w:tr>
            <w:tr w:rsidR="00B26F66" w14:paraId="6A72B9E0" w14:textId="77777777" w:rsidTr="0070597D">
              <w:trPr>
                <w:gridAfter w:val="1"/>
                <w:wAfter w:w="369" w:type="pct"/>
                <w:trHeight w:val="103"/>
                <w:tblCellSpacing w:w="0" w:type="dxa"/>
              </w:trPr>
              <w:tc>
                <w:tcPr>
                  <w:tcW w:w="979" w:type="pct"/>
                  <w:vAlign w:val="center"/>
                </w:tcPr>
                <w:p w14:paraId="057785D7" w14:textId="77777777" w:rsidR="00B26F66" w:rsidRPr="002A751B" w:rsidRDefault="00B26F66">
                  <w:r w:rsidRPr="002A751B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5564A71" w14:textId="7318D706" w:rsidR="00B26F66" w:rsidRPr="002A751B" w:rsidRDefault="00B26F66">
                  <w:r w:rsidRPr="002A751B">
                    <w:rPr>
                      <w:color w:val="000000"/>
                    </w:rPr>
                    <w:t xml:space="preserve">How does ASHRAE recommend that cooling towers be cleaned to </w:t>
                  </w:r>
                  <w:r w:rsidR="00A233BF">
                    <w:rPr>
                      <w:color w:val="000000"/>
                    </w:rPr>
                    <w:t>minimize</w:t>
                  </w:r>
                  <w:r w:rsidR="00AF7C9D">
                    <w:rPr>
                      <w:color w:val="000000"/>
                    </w:rPr>
                    <w:t xml:space="preserve"> conditions that allow</w:t>
                  </w:r>
                  <w:r w:rsidR="00A233BF">
                    <w:rPr>
                      <w:color w:val="000000"/>
                    </w:rPr>
                    <w:t xml:space="preserve"> </w:t>
                  </w:r>
                  <w:r w:rsidR="00A233BF" w:rsidRPr="00475652">
                    <w:rPr>
                      <w:i/>
                      <w:color w:val="000000"/>
                    </w:rPr>
                    <w:t>Legionella</w:t>
                  </w:r>
                  <w:r w:rsidR="00A233BF">
                    <w:rPr>
                      <w:color w:val="000000"/>
                    </w:rPr>
                    <w:t xml:space="preserve"> growth and the risk of</w:t>
                  </w:r>
                  <w:r w:rsidRPr="002A751B">
                    <w:rPr>
                      <w:color w:val="000000"/>
                    </w:rPr>
                    <w:t xml:space="preserve"> Legionellosis?</w:t>
                  </w:r>
                </w:p>
              </w:tc>
            </w:tr>
            <w:tr w:rsidR="00B26F66" w14:paraId="2D25C806" w14:textId="77777777" w:rsidTr="0070597D">
              <w:trPr>
                <w:gridAfter w:val="1"/>
                <w:wAfter w:w="368" w:type="pct"/>
                <w:trHeight w:val="103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E51A4A2" w14:textId="77777777" w:rsidR="00B26F66" w:rsidRPr="002A751B" w:rsidRDefault="00442E1D">
                  <w:r>
                    <w:pict w14:anchorId="66AC546B">
                      <v:rect id="_x0000_i1051" style="width:0;height:1.5pt" o:hralign="center" o:hrstd="t" o:hr="t" fillcolor="#aca899" stroked="f"/>
                    </w:pict>
                  </w:r>
                </w:p>
              </w:tc>
            </w:tr>
            <w:tr w:rsidR="00B26F66" w14:paraId="1253A6BC" w14:textId="77777777" w:rsidTr="0070597D">
              <w:trPr>
                <w:gridAfter w:val="1"/>
                <w:wAfter w:w="369" w:type="pct"/>
                <w:trHeight w:val="103"/>
                <w:tblCellSpacing w:w="0" w:type="dxa"/>
              </w:trPr>
              <w:tc>
                <w:tcPr>
                  <w:tcW w:w="979" w:type="pct"/>
                  <w:shd w:val="clear" w:color="auto" w:fill="auto"/>
                  <w:vAlign w:val="center"/>
                </w:tcPr>
                <w:p w14:paraId="1D775A9C" w14:textId="77777777" w:rsidR="00B26F66" w:rsidRPr="00AB6797" w:rsidRDefault="00B26F66">
                  <w:r w:rsidRPr="00AB6797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shd w:val="clear" w:color="auto" w:fill="auto"/>
                  <w:vAlign w:val="center"/>
                </w:tcPr>
                <w:p w14:paraId="06DBD0A4" w14:textId="77777777" w:rsidR="004474C6" w:rsidRPr="00442E1D" w:rsidRDefault="009E35AA" w:rsidP="004474C6">
                  <w:pPr>
                    <w:rPr>
                      <w:color w:val="000000"/>
                    </w:rPr>
                  </w:pPr>
                  <w:r w:rsidRPr="00442E1D">
                    <w:rPr>
                      <w:color w:val="000000"/>
                    </w:rPr>
                    <w:t>Refer to the equipment m</w:t>
                  </w:r>
                  <w:r w:rsidR="007A3202" w:rsidRPr="00442E1D">
                    <w:rPr>
                      <w:color w:val="000000"/>
                    </w:rPr>
                    <w:t>anufacturer’s operation and maintenance instruction</w:t>
                  </w:r>
                  <w:r w:rsidR="004474C6" w:rsidRPr="00442E1D">
                    <w:rPr>
                      <w:color w:val="000000"/>
                    </w:rPr>
                    <w:t>s</w:t>
                  </w:r>
                  <w:r w:rsidR="007A3202" w:rsidRPr="00442E1D">
                    <w:rPr>
                      <w:color w:val="000000"/>
                    </w:rPr>
                    <w:t xml:space="preserve"> for </w:t>
                  </w:r>
                  <w:r w:rsidR="004474C6" w:rsidRPr="00442E1D">
                    <w:rPr>
                      <w:color w:val="000000"/>
                    </w:rPr>
                    <w:t>guidance</w:t>
                  </w:r>
                  <w:r w:rsidR="007A3202" w:rsidRPr="00442E1D">
                    <w:rPr>
                      <w:color w:val="000000"/>
                    </w:rPr>
                    <w:t xml:space="preserve"> on cleaning, </w:t>
                  </w:r>
                  <w:r w:rsidR="004474C6" w:rsidRPr="00442E1D">
                    <w:rPr>
                      <w:color w:val="000000"/>
                    </w:rPr>
                    <w:t xml:space="preserve">suggested frequency of inspection and cleaning for various components, and recommendations for cleaning prior to </w:t>
                  </w:r>
                  <w:r w:rsidR="007A3202" w:rsidRPr="00442E1D">
                    <w:rPr>
                      <w:color w:val="000000"/>
                    </w:rPr>
                    <w:t>initial and seasonal start</w:t>
                  </w:r>
                  <w:r w:rsidR="00352D30" w:rsidRPr="00442E1D">
                    <w:rPr>
                      <w:color w:val="000000"/>
                    </w:rPr>
                    <w:t>-</w:t>
                  </w:r>
                  <w:r w:rsidR="007A3202" w:rsidRPr="00442E1D">
                    <w:rPr>
                      <w:color w:val="000000"/>
                    </w:rPr>
                    <w:t xml:space="preserve">up.  </w:t>
                  </w:r>
                </w:p>
                <w:p w14:paraId="39DFDF5F" w14:textId="77777777" w:rsidR="004474C6" w:rsidRPr="00442E1D" w:rsidRDefault="004474C6" w:rsidP="00442E1D">
                  <w:pPr>
                    <w:rPr>
                      <w:color w:val="000000"/>
                    </w:rPr>
                  </w:pPr>
                </w:p>
                <w:p w14:paraId="5C891767" w14:textId="49DD7254" w:rsidR="00B26F66" w:rsidRPr="00442E1D" w:rsidRDefault="00B26F66" w:rsidP="00442E1D">
                  <w:pPr>
                    <w:pStyle w:val="Heading1"/>
                    <w:shd w:val="clear" w:color="auto" w:fill="FFFFFF"/>
                    <w:spacing w:before="0"/>
                    <w:textAlignment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ASHRAE's recommendations </w:t>
                  </w:r>
                  <w:r w:rsidRPr="00442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regarding Legionellosis are contained in </w:t>
                  </w:r>
                  <w:hyperlink r:id="rId4" w:history="1">
                    <w:r w:rsidR="00442E1D" w:rsidRP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ASHRAE Standard 514</w:t>
                    </w:r>
                    <w:r w:rsid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442E1D">
                      <w:rPr>
                        <w:rStyle w:val="Hyperlink"/>
                      </w:rPr>
                      <w:t>-</w:t>
                    </w:r>
                    <w:r w:rsidR="00442E1D" w:rsidRP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2023</w:t>
                    </w:r>
                  </w:hyperlink>
                  <w:r w:rsidR="00442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, </w:t>
                  </w:r>
                  <w:r w:rsidR="00442E1D" w:rsidRPr="00442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Chemical, and Microbial Hazard</w:t>
                  </w:r>
                  <w:r w:rsidR="00442E1D" w:rsidRPr="00442E1D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, </w:t>
                  </w:r>
                  <w:hyperlink r:id="rId5" w:history="1">
                    <w:r w:rsidR="00CB3C51" w:rsidRP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ASHRAE Standard 188-20</w:t>
                    </w:r>
                    <w:r w:rsidR="00F32F7E" w:rsidRP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21</w:t>
                    </w:r>
                  </w:hyperlink>
                  <w:r w:rsidR="00CB3C51"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Legionellosis: Risk Management for Building Water Systems, and </w:t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the </w:t>
                  </w:r>
                  <w:hyperlink r:id="rId6" w:history="1">
                    <w:r w:rsidR="005D60B9" w:rsidRP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ASHRAE Guideline 12 -20</w:t>
                    </w:r>
                    <w:r w:rsidR="00F32F7E" w:rsidRP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23</w:t>
                    </w:r>
                  </w:hyperlink>
                  <w:r w:rsidR="005D60B9"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Minimizing the Risk of Legionellosis Associated with Building Water Systems</w:t>
                  </w:r>
                  <w:r w:rsidR="005D60B9"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to a lesser extent in the ASHRAE Handbooks. </w:t>
                  </w:r>
                  <w:r w:rsid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SHRAE recommends that cooling towers should be designed, installed, operated, and maintained in accordance with </w:t>
                  </w:r>
                  <w:hyperlink r:id="rId7" w:history="1">
                    <w:r w:rsidR="00F32F7E" w:rsidRP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ASHRAE Guideline 12 -2023</w:t>
                    </w:r>
                  </w:hyperlink>
                  <w:r w:rsidR="00F32F7E"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to minimize the risk of dissemination of </w:t>
                  </w:r>
                  <w:r w:rsidR="00A233BF" w:rsidRPr="00442E1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L</w:t>
                  </w:r>
                  <w:r w:rsidRPr="00442E1D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egionella</w:t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bacteria. The guideline includes recommendations for cleaning and </w:t>
                  </w:r>
                  <w:r w:rsidR="00065CEC"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disinfection</w:t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The guideline may be purchased on-line at our website, </w:t>
                  </w:r>
                  <w:hyperlink r:id="rId8" w:history="1">
                    <w:r w:rsidR="00DE1B2B" w:rsidRPr="00442E1D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www.ashrae.org</w:t>
                    </w:r>
                  </w:hyperlink>
                  <w:r w:rsidRPr="00442E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or by calling 1-800-527-4723 in the USA and Canada or 1-404-636-8400 worldwide.</w:t>
                  </w:r>
                </w:p>
              </w:tc>
            </w:tr>
            <w:tr w:rsidR="00B26F66" w14:paraId="0816E517" w14:textId="77777777" w:rsidTr="0070597D">
              <w:trPr>
                <w:gridAfter w:val="1"/>
                <w:wAfter w:w="368" w:type="pct"/>
                <w:trHeight w:val="215"/>
                <w:tblCellSpacing w:w="0" w:type="dxa"/>
              </w:trPr>
              <w:tc>
                <w:tcPr>
                  <w:tcW w:w="4632" w:type="pct"/>
                  <w:gridSpan w:val="3"/>
                  <w:shd w:val="clear" w:color="auto" w:fill="auto"/>
                  <w:vAlign w:val="center"/>
                </w:tcPr>
                <w:p w14:paraId="2E302562" w14:textId="77777777" w:rsidR="00B26F66" w:rsidRPr="00AB6797" w:rsidRDefault="00442E1D">
                  <w:r>
                    <w:pict w14:anchorId="7C2F6E6D">
                      <v:rect id="_x0000_i1052" style="width:0;height:1.5pt" o:hralign="center" o:hrstd="t" o:hr="t" fillcolor="#aca899" stroked="f"/>
                    </w:pict>
                  </w:r>
                </w:p>
              </w:tc>
            </w:tr>
            <w:tr w:rsidR="00B26F66" w14:paraId="0A852F3B" w14:textId="77777777" w:rsidTr="0070597D">
              <w:trPr>
                <w:gridAfter w:val="1"/>
                <w:wAfter w:w="369" w:type="pct"/>
                <w:trHeight w:val="401"/>
                <w:tblCellSpacing w:w="0" w:type="dxa"/>
              </w:trPr>
              <w:tc>
                <w:tcPr>
                  <w:tcW w:w="979" w:type="pct"/>
                  <w:shd w:val="clear" w:color="auto" w:fill="auto"/>
                  <w:vAlign w:val="center"/>
                </w:tcPr>
                <w:p w14:paraId="715F5794" w14:textId="77777777" w:rsidR="00B26F66" w:rsidRPr="00AB6797" w:rsidRDefault="00B26F66">
                  <w:r w:rsidRPr="00AB6797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shd w:val="clear" w:color="auto" w:fill="auto"/>
                  <w:vAlign w:val="center"/>
                </w:tcPr>
                <w:p w14:paraId="71AFB9C1" w14:textId="1D0539BA" w:rsidR="00CB3C51" w:rsidRDefault="00F32F7E">
                  <w:hyperlink r:id="rId9" w:history="1">
                    <w:r>
                      <w:rPr>
                        <w:rStyle w:val="Hyperlink"/>
                      </w:rPr>
                      <w:t>ASHRAE S</w:t>
                    </w:r>
                    <w:r w:rsidRPr="00CB3C51">
                      <w:rPr>
                        <w:rStyle w:val="Hyperlink"/>
                      </w:rPr>
                      <w:t>tandard 188-20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>
                    <w:rPr>
                      <w:color w:val="000000"/>
                    </w:rPr>
                    <w:t>,</w:t>
                  </w:r>
                  <w:r w:rsidR="00CB3C51">
                    <w:rPr>
                      <w:color w:val="000000"/>
                    </w:rPr>
                    <w:t xml:space="preserve"> </w:t>
                  </w:r>
                  <w:r w:rsidR="00CB3C51" w:rsidRPr="00CB3C51">
                    <w:rPr>
                      <w:color w:val="000000"/>
                    </w:rPr>
                    <w:t>Legionellosis: Risk Management for Building Water Systems</w:t>
                  </w:r>
                  <w:r w:rsidR="00CB3C51">
                    <w:t xml:space="preserve"> </w:t>
                  </w:r>
                </w:p>
                <w:p w14:paraId="7D761E04" w14:textId="77777777" w:rsidR="00CB3C51" w:rsidRDefault="00CB3C51"/>
                <w:p w14:paraId="459A7963" w14:textId="0A6A7226" w:rsidR="005173E2" w:rsidRDefault="00F32F7E">
                  <w:pPr>
                    <w:rPr>
                      <w:color w:val="000000"/>
                    </w:rPr>
                  </w:pPr>
                  <w:hyperlink r:id="rId10" w:history="1">
                    <w:r w:rsidRPr="00AB6797">
                      <w:rPr>
                        <w:rStyle w:val="Hyperlink"/>
                      </w:rPr>
                      <w:t>ASHRAE Guideline 12 -20</w:t>
                    </w:r>
                    <w:r>
                      <w:rPr>
                        <w:rStyle w:val="Hyperlink"/>
                      </w:rPr>
                      <w:t>23</w:t>
                    </w:r>
                  </w:hyperlink>
                  <w:r w:rsidRPr="00AB6797">
                    <w:rPr>
                      <w:color w:val="000000"/>
                    </w:rPr>
                    <w:t>,</w:t>
                  </w:r>
                  <w:r w:rsidR="005D60B9" w:rsidRPr="00AB6797">
                    <w:rPr>
                      <w:color w:val="000000"/>
                    </w:rPr>
                    <w:t xml:space="preserve">, </w:t>
                  </w:r>
                  <w:r w:rsidR="00B26F66" w:rsidRPr="00AB6797">
                    <w:rPr>
                      <w:color w:val="000000"/>
                    </w:rPr>
                    <w:t>Minimizing the Risk of Legionellosis Associated with Building Water System</w:t>
                  </w:r>
                  <w:r w:rsidR="00442E1D">
                    <w:rPr>
                      <w:color w:val="000000"/>
                    </w:rPr>
                    <w:br/>
                  </w:r>
                </w:p>
                <w:p w14:paraId="376A77DD" w14:textId="522FAF71" w:rsidR="00442E1D" w:rsidRPr="00ED3228" w:rsidRDefault="00442E1D">
                  <w:pPr>
                    <w:rPr>
                      <w:color w:val="000000"/>
                    </w:rPr>
                  </w:pPr>
                  <w:hyperlink r:id="rId11" w:history="1">
                    <w:r w:rsidRPr="00442E1D">
                      <w:rPr>
                        <w:rStyle w:val="Hyperlink"/>
                      </w:rPr>
                      <w:t>ASHRAE Standard 514</w:t>
                    </w:r>
                    <w:r>
                      <w:rPr>
                        <w:rStyle w:val="Hyperlink"/>
                      </w:rPr>
                      <w:t xml:space="preserve"> -</w:t>
                    </w:r>
                    <w:r w:rsidRPr="00442E1D">
                      <w:rPr>
                        <w:rStyle w:val="Hyperlink"/>
                      </w:rPr>
                      <w:t>2023</w:t>
                    </w:r>
                  </w:hyperlink>
                  <w:r>
                    <w:rPr>
                      <w:color w:val="333333"/>
                    </w:rPr>
                    <w:t xml:space="preserve">, </w:t>
                  </w:r>
                  <w:r w:rsidRPr="00442E1D">
                    <w:rPr>
                      <w:color w:val="333333"/>
                    </w:rPr>
                    <w:t>Chemical, and Microbial Hazard,</w:t>
                  </w:r>
                </w:p>
              </w:tc>
            </w:tr>
            <w:tr w:rsidR="00B26F66" w14:paraId="4DBACEAF" w14:textId="77777777" w:rsidTr="0070597D">
              <w:trPr>
                <w:gridAfter w:val="1"/>
                <w:wAfter w:w="368" w:type="pct"/>
                <w:trHeight w:val="200"/>
                <w:tblCellSpacing w:w="0" w:type="dxa"/>
              </w:trPr>
              <w:tc>
                <w:tcPr>
                  <w:tcW w:w="4632" w:type="pct"/>
                  <w:gridSpan w:val="3"/>
                  <w:shd w:val="clear" w:color="auto" w:fill="auto"/>
                  <w:vAlign w:val="center"/>
                </w:tcPr>
                <w:p w14:paraId="3271AB06" w14:textId="77777777" w:rsidR="00B26F66" w:rsidRPr="00AB6797" w:rsidRDefault="00442E1D">
                  <w:r>
                    <w:pict w14:anchorId="42AC3878">
                      <v:rect id="_x0000_i1053" style="width:0;height:1.5pt" o:hralign="center" o:hrstd="t" o:hr="t" fillcolor="#aca899" stroked="f"/>
                    </w:pict>
                  </w:r>
                </w:p>
              </w:tc>
            </w:tr>
            <w:tr w:rsidR="00B26F66" w14:paraId="1732327F" w14:textId="77777777" w:rsidTr="0070597D">
              <w:trPr>
                <w:gridAfter w:val="1"/>
                <w:wAfter w:w="369" w:type="pct"/>
                <w:trHeight w:val="401"/>
                <w:tblCellSpacing w:w="0" w:type="dxa"/>
              </w:trPr>
              <w:tc>
                <w:tcPr>
                  <w:tcW w:w="979" w:type="pct"/>
                  <w:shd w:val="clear" w:color="auto" w:fill="auto"/>
                  <w:vAlign w:val="center"/>
                </w:tcPr>
                <w:p w14:paraId="1297F0AF" w14:textId="77777777" w:rsidR="00B26F66" w:rsidRPr="00AB6797" w:rsidRDefault="00B26F66">
                  <w:r w:rsidRPr="00AB6797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shd w:val="clear" w:color="auto" w:fill="auto"/>
                  <w:vAlign w:val="center"/>
                </w:tcPr>
                <w:p w14:paraId="69F92CA2" w14:textId="77777777" w:rsidR="00B26F66" w:rsidRPr="00AB6797" w:rsidRDefault="00B26F66">
                  <w:r w:rsidRPr="00AB6797">
                    <w:rPr>
                      <w:color w:val="000000"/>
                    </w:rPr>
                    <w:t>Legionellosis, water systems, cooling towers</w:t>
                  </w:r>
                </w:p>
              </w:tc>
            </w:tr>
            <w:tr w:rsidR="00B26F66" w14:paraId="42751F08" w14:textId="77777777" w:rsidTr="0070597D">
              <w:trPr>
                <w:trHeight w:val="200"/>
                <w:tblCellSpacing w:w="0" w:type="dxa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14:paraId="7BC7FE56" w14:textId="77777777" w:rsidR="00B26F66" w:rsidRPr="00AB6797" w:rsidRDefault="00442E1D">
                  <w:r>
                    <w:pict w14:anchorId="63FF2A95">
                      <v:rect id="_x0000_i1054" style="width:0;height:1.5pt" o:hralign="center" o:hrstd="t" o:hr="t" fillcolor="#aca899" stroked="f"/>
                    </w:pict>
                  </w:r>
                </w:p>
              </w:tc>
            </w:tr>
            <w:tr w:rsidR="00B26F66" w:rsidRPr="00AB6797" w14:paraId="40D00D06" w14:textId="77777777" w:rsidTr="0070597D">
              <w:trPr>
                <w:gridAfter w:val="2"/>
                <w:wAfter w:w="399" w:type="pct"/>
                <w:trHeight w:val="2151"/>
                <w:tblCellSpacing w:w="0" w:type="dxa"/>
              </w:trPr>
              <w:tc>
                <w:tcPr>
                  <w:tcW w:w="4601" w:type="pct"/>
                  <w:gridSpan w:val="2"/>
                  <w:shd w:val="clear" w:color="auto" w:fill="auto"/>
                  <w:vAlign w:val="center"/>
                </w:tcPr>
                <w:tbl>
                  <w:tblPr>
                    <w:tblW w:w="678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74"/>
                    <w:gridCol w:w="3712"/>
                    <w:gridCol w:w="2598"/>
                  </w:tblGrid>
                  <w:tr w:rsidR="00B26F66" w:rsidRPr="00AB6797" w14:paraId="0393127B" w14:textId="77777777" w:rsidTr="0070597D">
                    <w:trPr>
                      <w:trHeight w:val="320"/>
                      <w:jc w:val="center"/>
                    </w:trPr>
                    <w:tc>
                      <w:tcPr>
                        <w:tcW w:w="474" w:type="dxa"/>
                      </w:tcPr>
                      <w:p w14:paraId="22343E10" w14:textId="77777777" w:rsidR="00B26F66" w:rsidRPr="00AB6797" w:rsidRDefault="00B26F66"/>
                    </w:tc>
                    <w:tc>
                      <w:tcPr>
                        <w:tcW w:w="3712" w:type="dxa"/>
                      </w:tcPr>
                      <w:p w14:paraId="493DC294" w14:textId="77777777" w:rsidR="00B26F66" w:rsidRPr="00AB6797" w:rsidRDefault="00B26F66">
                        <w:r w:rsidRPr="00AB6797">
                          <w:t>Cognizant ASHRAE Committees</w:t>
                        </w:r>
                      </w:p>
                    </w:tc>
                    <w:tc>
                      <w:tcPr>
                        <w:tcW w:w="2598" w:type="dxa"/>
                      </w:tcPr>
                      <w:p w14:paraId="615E8EA4" w14:textId="77777777" w:rsidR="00B26F66" w:rsidRPr="00AB6797" w:rsidRDefault="00B26F66">
                        <w:r w:rsidRPr="00AB6797">
                          <w:t>Refer to Organization</w:t>
                        </w:r>
                      </w:p>
                    </w:tc>
                  </w:tr>
                  <w:tr w:rsidR="00B26F66" w:rsidRPr="00AB6797" w14:paraId="10E33F3A" w14:textId="77777777" w:rsidTr="0070597D">
                    <w:trPr>
                      <w:trHeight w:val="297"/>
                      <w:jc w:val="center"/>
                    </w:trPr>
                    <w:tc>
                      <w:tcPr>
                        <w:tcW w:w="474" w:type="dxa"/>
                      </w:tcPr>
                      <w:p w14:paraId="3C38B78D" w14:textId="77777777" w:rsidR="00B26F66" w:rsidRPr="00AB6797" w:rsidRDefault="00B26F66">
                        <w:r w:rsidRPr="00AB6797">
                          <w:t>1</w:t>
                        </w:r>
                      </w:p>
                    </w:tc>
                    <w:tc>
                      <w:tcPr>
                        <w:tcW w:w="3712" w:type="dxa"/>
                      </w:tcPr>
                      <w:p w14:paraId="66E65EE8" w14:textId="77777777" w:rsidR="00B26F66" w:rsidRPr="00AB6797" w:rsidRDefault="00442E1D">
                        <w:hyperlink r:id="rId12" w:history="1">
                          <w:r w:rsidR="00B26F66" w:rsidRPr="00AB6797">
                            <w:rPr>
                              <w:rStyle w:val="Hyperlink"/>
                            </w:rPr>
                            <w:t>TC 3.6</w:t>
                          </w:r>
                        </w:hyperlink>
                      </w:p>
                    </w:tc>
                    <w:tc>
                      <w:tcPr>
                        <w:tcW w:w="2598" w:type="dxa"/>
                      </w:tcPr>
                      <w:p w14:paraId="2ED3DD73" w14:textId="77777777" w:rsidR="00B26F66" w:rsidRPr="00AB6797" w:rsidRDefault="00B26F66"/>
                    </w:tc>
                  </w:tr>
                  <w:tr w:rsidR="00B26F66" w:rsidRPr="00AB6797" w14:paraId="7E8B5FD2" w14:textId="77777777" w:rsidTr="0070597D">
                    <w:trPr>
                      <w:trHeight w:val="297"/>
                      <w:jc w:val="center"/>
                    </w:trPr>
                    <w:tc>
                      <w:tcPr>
                        <w:tcW w:w="474" w:type="dxa"/>
                      </w:tcPr>
                      <w:p w14:paraId="78FD3B41" w14:textId="77777777" w:rsidR="00B26F66" w:rsidRPr="00AB6797" w:rsidRDefault="00B26F66">
                        <w:r w:rsidRPr="00AB6797">
                          <w:t>2</w:t>
                        </w:r>
                      </w:p>
                    </w:tc>
                    <w:tc>
                      <w:tcPr>
                        <w:tcW w:w="3712" w:type="dxa"/>
                      </w:tcPr>
                      <w:p w14:paraId="25D72CBE" w14:textId="77777777" w:rsidR="00B26F66" w:rsidRPr="00AB6797" w:rsidRDefault="00442E1D">
                        <w:hyperlink r:id="rId13" w:history="1">
                          <w:r w:rsidR="00B26F66" w:rsidRPr="00AB6797">
                            <w:rPr>
                              <w:rStyle w:val="Hyperlink"/>
                            </w:rPr>
                            <w:t>EHC</w:t>
                          </w:r>
                        </w:hyperlink>
                      </w:p>
                    </w:tc>
                    <w:tc>
                      <w:tcPr>
                        <w:tcW w:w="2598" w:type="dxa"/>
                      </w:tcPr>
                      <w:p w14:paraId="4ADC3FE0" w14:textId="77777777" w:rsidR="00B26F66" w:rsidRPr="00AB6797" w:rsidRDefault="00B26F66"/>
                    </w:tc>
                  </w:tr>
                  <w:tr w:rsidR="00B26F66" w:rsidRPr="00AB6797" w14:paraId="0AD36835" w14:textId="77777777" w:rsidTr="0070597D">
                    <w:trPr>
                      <w:trHeight w:val="297"/>
                      <w:jc w:val="center"/>
                    </w:trPr>
                    <w:tc>
                      <w:tcPr>
                        <w:tcW w:w="474" w:type="dxa"/>
                      </w:tcPr>
                      <w:p w14:paraId="43E7E743" w14:textId="77777777" w:rsidR="00B26F66" w:rsidRPr="00AB6797" w:rsidRDefault="00B26F66">
                        <w:r w:rsidRPr="00AB6797">
                          <w:t>3</w:t>
                        </w:r>
                      </w:p>
                    </w:tc>
                    <w:tc>
                      <w:tcPr>
                        <w:tcW w:w="3712" w:type="dxa"/>
                      </w:tcPr>
                      <w:p w14:paraId="329FC570" w14:textId="77777777" w:rsidR="00B26F66" w:rsidRPr="00AB6797" w:rsidRDefault="00B26F66"/>
                    </w:tc>
                    <w:tc>
                      <w:tcPr>
                        <w:tcW w:w="2598" w:type="dxa"/>
                      </w:tcPr>
                      <w:p w14:paraId="36663A32" w14:textId="77777777" w:rsidR="00B26F66" w:rsidRPr="00AB6797" w:rsidRDefault="00B26F66"/>
                    </w:tc>
                  </w:tr>
                  <w:tr w:rsidR="00B26F66" w:rsidRPr="00AB6797" w14:paraId="4022EF88" w14:textId="77777777" w:rsidTr="0070597D">
                    <w:trPr>
                      <w:trHeight w:val="320"/>
                      <w:jc w:val="center"/>
                    </w:trPr>
                    <w:tc>
                      <w:tcPr>
                        <w:tcW w:w="474" w:type="dxa"/>
                      </w:tcPr>
                      <w:p w14:paraId="6B517D23" w14:textId="77777777" w:rsidR="00B26F66" w:rsidRPr="00AB6797" w:rsidRDefault="00B26F66">
                        <w:r w:rsidRPr="00AB6797">
                          <w:t>4</w:t>
                        </w:r>
                      </w:p>
                    </w:tc>
                    <w:tc>
                      <w:tcPr>
                        <w:tcW w:w="3712" w:type="dxa"/>
                      </w:tcPr>
                      <w:p w14:paraId="303A9749" w14:textId="77777777" w:rsidR="00B26F66" w:rsidRPr="00AB6797" w:rsidRDefault="00B26F66"/>
                    </w:tc>
                    <w:tc>
                      <w:tcPr>
                        <w:tcW w:w="2598" w:type="dxa"/>
                      </w:tcPr>
                      <w:p w14:paraId="52CA90D4" w14:textId="77777777" w:rsidR="00B26F66" w:rsidRPr="00AB6797" w:rsidRDefault="00B26F66"/>
                    </w:tc>
                  </w:tr>
                  <w:tr w:rsidR="00B26F66" w:rsidRPr="00AB6797" w14:paraId="177AFED1" w14:textId="77777777" w:rsidTr="0070597D">
                    <w:trPr>
                      <w:trHeight w:val="320"/>
                      <w:jc w:val="center"/>
                    </w:trPr>
                    <w:tc>
                      <w:tcPr>
                        <w:tcW w:w="474" w:type="dxa"/>
                      </w:tcPr>
                      <w:p w14:paraId="174BF812" w14:textId="77777777" w:rsidR="00B26F66" w:rsidRPr="00AB6797" w:rsidRDefault="00B26F66">
                        <w:r w:rsidRPr="00AB6797">
                          <w:t>5</w:t>
                        </w:r>
                      </w:p>
                    </w:tc>
                    <w:tc>
                      <w:tcPr>
                        <w:tcW w:w="3712" w:type="dxa"/>
                      </w:tcPr>
                      <w:p w14:paraId="58787ED6" w14:textId="77777777" w:rsidR="00B26F66" w:rsidRPr="00AB6797" w:rsidRDefault="00B26F66"/>
                    </w:tc>
                    <w:tc>
                      <w:tcPr>
                        <w:tcW w:w="2598" w:type="dxa"/>
                      </w:tcPr>
                      <w:p w14:paraId="21A6CFB4" w14:textId="77777777" w:rsidR="00B26F66" w:rsidRPr="00AB6797" w:rsidRDefault="00B26F66"/>
                    </w:tc>
                  </w:tr>
                </w:tbl>
                <w:p w14:paraId="648E43E8" w14:textId="77777777" w:rsidR="00B26F66" w:rsidRPr="00AB6797" w:rsidRDefault="00B26F66"/>
              </w:tc>
            </w:tr>
          </w:tbl>
          <w:p w14:paraId="08906EAF" w14:textId="77777777" w:rsidR="00B26F66" w:rsidRDefault="00B26F66"/>
        </w:tc>
        <w:tc>
          <w:tcPr>
            <w:tcW w:w="0" w:type="auto"/>
            <w:vAlign w:val="center"/>
          </w:tcPr>
          <w:p w14:paraId="27F2D856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138744B8" w14:textId="77777777" w:rsidR="0073616E" w:rsidRPr="005E4570" w:rsidRDefault="0073616E" w:rsidP="0070597D"/>
    <w:sectPr w:rsidR="0073616E" w:rsidRPr="005E4570" w:rsidSect="0070597D">
      <w:pgSz w:w="12240" w:h="15840"/>
      <w:pgMar w:top="36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wtzQ2sDA0NTM1MjFQ0lEKTi0uzszPAykwqgUAFRwZOCwAAAA="/>
  </w:docVars>
  <w:rsids>
    <w:rsidRoot w:val="00227822"/>
    <w:rsid w:val="00003EC8"/>
    <w:rsid w:val="000142F9"/>
    <w:rsid w:val="00026B8D"/>
    <w:rsid w:val="000405EC"/>
    <w:rsid w:val="00043D6E"/>
    <w:rsid w:val="0005555B"/>
    <w:rsid w:val="00065CEC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4415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27822"/>
    <w:rsid w:val="002454F9"/>
    <w:rsid w:val="00252728"/>
    <w:rsid w:val="00257E60"/>
    <w:rsid w:val="002703A5"/>
    <w:rsid w:val="00271495"/>
    <w:rsid w:val="0027767A"/>
    <w:rsid w:val="002779BB"/>
    <w:rsid w:val="00281782"/>
    <w:rsid w:val="002825E3"/>
    <w:rsid w:val="00296B1D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419D"/>
    <w:rsid w:val="003478DA"/>
    <w:rsid w:val="00352D30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2E1D"/>
    <w:rsid w:val="004466ED"/>
    <w:rsid w:val="0044728F"/>
    <w:rsid w:val="004474C6"/>
    <w:rsid w:val="004543E1"/>
    <w:rsid w:val="00454431"/>
    <w:rsid w:val="00460FE3"/>
    <w:rsid w:val="00475652"/>
    <w:rsid w:val="004816F2"/>
    <w:rsid w:val="004A37B0"/>
    <w:rsid w:val="004A4C42"/>
    <w:rsid w:val="004B7D56"/>
    <w:rsid w:val="004F534E"/>
    <w:rsid w:val="005173E2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37EC"/>
    <w:rsid w:val="00676304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597D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A3202"/>
    <w:rsid w:val="007B0644"/>
    <w:rsid w:val="007B13FA"/>
    <w:rsid w:val="007B4575"/>
    <w:rsid w:val="007D4461"/>
    <w:rsid w:val="007D767C"/>
    <w:rsid w:val="007F08B9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E35AA"/>
    <w:rsid w:val="009F0A2B"/>
    <w:rsid w:val="00A0432D"/>
    <w:rsid w:val="00A07B27"/>
    <w:rsid w:val="00A10D2D"/>
    <w:rsid w:val="00A233BF"/>
    <w:rsid w:val="00A35BBF"/>
    <w:rsid w:val="00A41EB6"/>
    <w:rsid w:val="00A428DA"/>
    <w:rsid w:val="00A42B5B"/>
    <w:rsid w:val="00A4684A"/>
    <w:rsid w:val="00A479A0"/>
    <w:rsid w:val="00A731E6"/>
    <w:rsid w:val="00A83D39"/>
    <w:rsid w:val="00AB6797"/>
    <w:rsid w:val="00AF77C5"/>
    <w:rsid w:val="00AF7C9D"/>
    <w:rsid w:val="00B02942"/>
    <w:rsid w:val="00B03616"/>
    <w:rsid w:val="00B0665D"/>
    <w:rsid w:val="00B20543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52D5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66B35"/>
    <w:rsid w:val="00C7107C"/>
    <w:rsid w:val="00C9081F"/>
    <w:rsid w:val="00CB0012"/>
    <w:rsid w:val="00CB3C51"/>
    <w:rsid w:val="00CE0D06"/>
    <w:rsid w:val="00D1154F"/>
    <w:rsid w:val="00D30DFC"/>
    <w:rsid w:val="00D34EBB"/>
    <w:rsid w:val="00D35BE4"/>
    <w:rsid w:val="00D4058C"/>
    <w:rsid w:val="00D52DA1"/>
    <w:rsid w:val="00D803FB"/>
    <w:rsid w:val="00D829FF"/>
    <w:rsid w:val="00DA0AA0"/>
    <w:rsid w:val="00DA2376"/>
    <w:rsid w:val="00DA6B70"/>
    <w:rsid w:val="00DC7123"/>
    <w:rsid w:val="00DD073D"/>
    <w:rsid w:val="00DE1B2B"/>
    <w:rsid w:val="00DE21F3"/>
    <w:rsid w:val="00DF0848"/>
    <w:rsid w:val="00E11623"/>
    <w:rsid w:val="00E13372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1A96"/>
    <w:rsid w:val="00EA3DD3"/>
    <w:rsid w:val="00EB72AB"/>
    <w:rsid w:val="00EB7677"/>
    <w:rsid w:val="00ED3228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32F7E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ED0EF10"/>
  <w15:chartTrackingRefBased/>
  <w15:docId w15:val="{8317AAE8-F9F5-44F3-8F9E-13E78F92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2E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42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C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1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3372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CB3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pple-converted-space">
    <w:name w:val="apple-converted-space"/>
    <w:rsid w:val="00CB3C51"/>
  </w:style>
  <w:style w:type="character" w:customStyle="1" w:styleId="highlight">
    <w:name w:val="highlight"/>
    <w:rsid w:val="00CB3C51"/>
  </w:style>
  <w:style w:type="character" w:customStyle="1" w:styleId="Heading1Char">
    <w:name w:val="Heading 1 Char"/>
    <w:basedOn w:val="DefaultParagraphFont"/>
    <w:link w:val="Heading1"/>
    <w:rsid w:val="00442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42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4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" TargetMode="External"/><Relationship Id="rId13" Type="http://schemas.openxmlformats.org/officeDocument/2006/relationships/hyperlink" Target="http://www.ashrae.org/society-groups/committees/environmental-health-committee-eh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chstreet.com/ashrae/standards/guideline-12-2023-managing-the-risk-of-legionellosis-associated-with-building-water-systems?product_id=2568228" TargetMode="External"/><Relationship Id="rId12" Type="http://schemas.openxmlformats.org/officeDocument/2006/relationships/hyperlink" Target="http://tc0306.ashraetc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guideline-12-2023-managing-the-risk-of-legionellosis-associated-with-building-water-systems?product_id=2568228" TargetMode="External"/><Relationship Id="rId11" Type="http://schemas.openxmlformats.org/officeDocument/2006/relationships/hyperlink" Target="https://www.techstreet.com/ashrae/standards/ashrae-514-2023?product_id=2569997" TargetMode="External"/><Relationship Id="rId5" Type="http://schemas.openxmlformats.org/officeDocument/2006/relationships/hyperlink" Target="https://www.techstreet.com/ashrae/standards/ashrae-188-2021?product_id=22296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echstreet.com/ashrae/standards/guideline-12-2023-managing-the-risk-of-legionellosis-associated-with-building-water-systems?product_id=2568228" TargetMode="External"/><Relationship Id="rId4" Type="http://schemas.openxmlformats.org/officeDocument/2006/relationships/hyperlink" Target="https://www.techstreet.com/ashrae/standards/ashrae-514-2023?product_id=2569997" TargetMode="External"/><Relationship Id="rId9" Type="http://schemas.openxmlformats.org/officeDocument/2006/relationships/hyperlink" Target="https://www.techstreet.com/ashrae/standards/ashrae-188-2021?product_id=22296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2732</CharactersWithSpaces>
  <SharedDoc>false</SharedDoc>
  <HLinks>
    <vt:vector size="60" baseType="variant">
      <vt:variant>
        <vt:i4>7602291</vt:i4>
      </vt:variant>
      <vt:variant>
        <vt:i4>27</vt:i4>
      </vt:variant>
      <vt:variant>
        <vt:i4>0</vt:i4>
      </vt:variant>
      <vt:variant>
        <vt:i4>5</vt:i4>
      </vt:variant>
      <vt:variant>
        <vt:lpwstr>http://www.ashrae.org/society-groups/committees/environmental-health-committee-ehc</vt:lpwstr>
      </vt:variant>
      <vt:variant>
        <vt:lpwstr/>
      </vt:variant>
      <vt:variant>
        <vt:i4>3539003</vt:i4>
      </vt:variant>
      <vt:variant>
        <vt:i4>24</vt:i4>
      </vt:variant>
      <vt:variant>
        <vt:i4>0</vt:i4>
      </vt:variant>
      <vt:variant>
        <vt:i4>5</vt:i4>
      </vt:variant>
      <vt:variant>
        <vt:lpwstr>http://tc36.ashraetcs.org/</vt:lpwstr>
      </vt:variant>
      <vt:variant>
        <vt:lpwstr/>
      </vt:variant>
      <vt:variant>
        <vt:i4>3604570</vt:i4>
      </vt:variant>
      <vt:variant>
        <vt:i4>21</vt:i4>
      </vt:variant>
      <vt:variant>
        <vt:i4>0</vt:i4>
      </vt:variant>
      <vt:variant>
        <vt:i4>5</vt:i4>
      </vt:variant>
      <vt:variant>
        <vt:lpwstr>http://www.ashrae.org/File Library/docLib/About Us/PositionDocuments/ASHRAE_PD_Legionellosis_2012.pdf</vt:lpwstr>
      </vt:variant>
      <vt:variant>
        <vt:lpwstr/>
      </vt:variant>
      <vt:variant>
        <vt:i4>2228225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http://www.techstreet.com/cgi-bin/detail?product_id=232891</vt:lpwstr>
      </vt:variant>
      <vt:variant>
        <vt:lpwstr/>
      </vt:variant>
      <vt:variant>
        <vt:i4>3145788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3145788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3604570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http://www.ashrae.org/File Library/docLib/About Us/PositionDocuments/ASHRAE_PD_Legionellosis_2012.pdf</vt:lpwstr>
      </vt:variant>
      <vt:variant>
        <vt:lpwstr/>
      </vt:variant>
      <vt:variant>
        <vt:i4>3604570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http://www.ashrae.org/File Library/docLib/About Us/PositionDocuments/ASHRAE_PD_Legionellosis_2012.pdf</vt:lpwstr>
      </vt:variant>
      <vt:variant>
        <vt:lpwstr/>
      </vt:variant>
      <vt:variant>
        <vt:i4>2228225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http://www.techstreet.com/cgi-bin/detail?product_id=232891</vt:lpwstr>
      </vt:variant>
      <vt:variant>
        <vt:lpwstr/>
      </vt:variant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http://www.techstreet.com/cgi-bin/detail?product_id=232891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5</cp:revision>
  <cp:lastPrinted>2014-05-27T19:19:00Z</cp:lastPrinted>
  <dcterms:created xsi:type="dcterms:W3CDTF">2019-01-17T20:23:00Z</dcterms:created>
  <dcterms:modified xsi:type="dcterms:W3CDTF">2023-10-21T18:10:00Z</dcterms:modified>
</cp:coreProperties>
</file>