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24" w:type="dxa"/>
        <w:tblCellSpacing w:w="0" w:type="dxa"/>
        <w:tblCellMar>
          <w:left w:w="0" w:type="dxa"/>
          <w:right w:w="0" w:type="dxa"/>
        </w:tblCellMar>
        <w:tblLook w:val="0000" w:firstRow="0" w:lastRow="0" w:firstColumn="0" w:lastColumn="0" w:noHBand="0" w:noVBand="0"/>
      </w:tblPr>
      <w:tblGrid>
        <w:gridCol w:w="10118"/>
        <w:gridCol w:w="6"/>
      </w:tblGrid>
      <w:tr w:rsidR="00556E81" w14:paraId="2F1C76D1" w14:textId="77777777">
        <w:trPr>
          <w:tblCellSpacing w:w="0" w:type="dxa"/>
        </w:trPr>
        <w:tc>
          <w:tcPr>
            <w:tcW w:w="0" w:type="auto"/>
            <w:gridSpan w:val="2"/>
            <w:vAlign w:val="center"/>
          </w:tcPr>
          <w:p w14:paraId="08F80D22" w14:textId="77777777" w:rsidR="00556E81" w:rsidRDefault="00556E81">
            <w:pPr>
              <w:pStyle w:val="Heading3"/>
            </w:pPr>
            <w:r>
              <w:t>ASHRAE Technical FAQ</w:t>
            </w:r>
          </w:p>
        </w:tc>
      </w:tr>
      <w:tr w:rsidR="00556E81" w14:paraId="4AD817A6" w14:textId="77777777">
        <w:trPr>
          <w:trHeight w:val="8262"/>
          <w:tblCellSpacing w:w="0" w:type="dxa"/>
        </w:trPr>
        <w:tc>
          <w:tcPr>
            <w:tcW w:w="0" w:type="auto"/>
            <w:vAlign w:val="center"/>
          </w:tcPr>
          <w:tbl>
            <w:tblPr>
              <w:tblW w:w="10104" w:type="dxa"/>
              <w:tblCellSpacing w:w="0" w:type="dxa"/>
              <w:tblCellMar>
                <w:top w:w="75" w:type="dxa"/>
                <w:left w:w="75" w:type="dxa"/>
                <w:bottom w:w="75" w:type="dxa"/>
                <w:right w:w="75" w:type="dxa"/>
              </w:tblCellMar>
              <w:tblLook w:val="0000" w:firstRow="0" w:lastRow="0" w:firstColumn="0" w:lastColumn="0" w:noHBand="0" w:noVBand="0"/>
            </w:tblPr>
            <w:tblGrid>
              <w:gridCol w:w="1980"/>
              <w:gridCol w:w="7317"/>
              <w:gridCol w:w="63"/>
              <w:gridCol w:w="744"/>
            </w:tblGrid>
            <w:tr w:rsidR="00556E81" w14:paraId="120601C7" w14:textId="77777777">
              <w:trPr>
                <w:trHeight w:val="102"/>
                <w:tblCellSpacing w:w="0" w:type="dxa"/>
              </w:trPr>
              <w:tc>
                <w:tcPr>
                  <w:tcW w:w="5000" w:type="pct"/>
                  <w:gridSpan w:val="4"/>
                  <w:vAlign w:val="center"/>
                </w:tcPr>
                <w:p w14:paraId="720702DE" w14:textId="77777777" w:rsidR="00556E81" w:rsidRDefault="00EF560F">
                  <w:r>
                    <w:pict w14:anchorId="08A8CB5D">
                      <v:rect id="_x0000_i1025" style="width:0;height:1.5pt" o:hralign="center" o:hrstd="t" o:hr="t" fillcolor="#aca899" stroked="f"/>
                    </w:pict>
                  </w:r>
                </w:p>
              </w:tc>
            </w:tr>
            <w:tr w:rsidR="00556E81" w14:paraId="0240918D" w14:textId="77777777">
              <w:trPr>
                <w:gridAfter w:val="1"/>
                <w:wAfter w:w="368" w:type="pct"/>
                <w:trHeight w:val="102"/>
                <w:tblCellSpacing w:w="0" w:type="dxa"/>
              </w:trPr>
              <w:tc>
                <w:tcPr>
                  <w:tcW w:w="980" w:type="pct"/>
                  <w:vAlign w:val="center"/>
                </w:tcPr>
                <w:p w14:paraId="0B7EDDFA" w14:textId="77777777" w:rsidR="00556E81" w:rsidRDefault="00556E81">
                  <w:r>
                    <w:t xml:space="preserve">ID </w:t>
                  </w:r>
                </w:p>
              </w:tc>
              <w:tc>
                <w:tcPr>
                  <w:tcW w:w="3652" w:type="pct"/>
                  <w:gridSpan w:val="2"/>
                  <w:vAlign w:val="center"/>
                </w:tcPr>
                <w:p w14:paraId="1D167984" w14:textId="77777777" w:rsidR="00556E81" w:rsidRDefault="00556E81">
                  <w:r>
                    <w:t>77</w:t>
                  </w:r>
                </w:p>
              </w:tc>
            </w:tr>
            <w:tr w:rsidR="00556E81" w14:paraId="1B12DCEB" w14:textId="77777777">
              <w:trPr>
                <w:gridAfter w:val="1"/>
                <w:wAfter w:w="368" w:type="pct"/>
                <w:trHeight w:val="102"/>
                <w:tblCellSpacing w:w="0" w:type="dxa"/>
              </w:trPr>
              <w:tc>
                <w:tcPr>
                  <w:tcW w:w="4632" w:type="pct"/>
                  <w:gridSpan w:val="3"/>
                  <w:vAlign w:val="center"/>
                </w:tcPr>
                <w:p w14:paraId="021C847A" w14:textId="77777777" w:rsidR="00556E81" w:rsidRDefault="00EF560F">
                  <w:r>
                    <w:pict w14:anchorId="4E8E7212">
                      <v:rect id="_x0000_i1026" style="width:0;height:1.5pt" o:hralign="center" o:hrstd="t" o:hr="t" fillcolor="#aca899" stroked="f"/>
                    </w:pict>
                  </w:r>
                </w:p>
              </w:tc>
            </w:tr>
            <w:tr w:rsidR="00556E81" w14:paraId="56746353" w14:textId="77777777">
              <w:trPr>
                <w:gridAfter w:val="1"/>
                <w:wAfter w:w="368" w:type="pct"/>
                <w:trHeight w:val="102"/>
                <w:tblCellSpacing w:w="0" w:type="dxa"/>
              </w:trPr>
              <w:tc>
                <w:tcPr>
                  <w:tcW w:w="980" w:type="pct"/>
                  <w:vAlign w:val="center"/>
                </w:tcPr>
                <w:p w14:paraId="3DB1EE5F" w14:textId="77777777" w:rsidR="00556E81" w:rsidRDefault="00556E81">
                  <w:r>
                    <w:t xml:space="preserve">Question </w:t>
                  </w:r>
                </w:p>
              </w:tc>
              <w:tc>
                <w:tcPr>
                  <w:tcW w:w="3652" w:type="pct"/>
                  <w:gridSpan w:val="2"/>
                  <w:vAlign w:val="center"/>
                </w:tcPr>
                <w:p w14:paraId="6E127DE3" w14:textId="77777777" w:rsidR="00556E81" w:rsidRPr="00DD1FCA" w:rsidRDefault="00556E81">
                  <w:r w:rsidRPr="00DD1FCA">
                    <w:rPr>
                      <w:color w:val="000000"/>
                    </w:rPr>
                    <w:t>How can I calculate heating and cooling load for a commercial building?</w:t>
                  </w:r>
                </w:p>
              </w:tc>
            </w:tr>
            <w:tr w:rsidR="00556E81" w14:paraId="63D8B218" w14:textId="77777777">
              <w:trPr>
                <w:gridAfter w:val="1"/>
                <w:wAfter w:w="368" w:type="pct"/>
                <w:trHeight w:val="102"/>
                <w:tblCellSpacing w:w="0" w:type="dxa"/>
              </w:trPr>
              <w:tc>
                <w:tcPr>
                  <w:tcW w:w="4632" w:type="pct"/>
                  <w:gridSpan w:val="3"/>
                  <w:vAlign w:val="center"/>
                </w:tcPr>
                <w:p w14:paraId="4A135CB7" w14:textId="77777777" w:rsidR="00556E81" w:rsidRPr="00DD1FCA" w:rsidRDefault="00EF560F">
                  <w:r>
                    <w:pict w14:anchorId="49BAFAB9">
                      <v:rect id="_x0000_i1027" style="width:0;height:1.5pt" o:hralign="center" o:hrstd="t" o:hr="t" fillcolor="#aca899" stroked="f"/>
                    </w:pict>
                  </w:r>
                </w:p>
              </w:tc>
            </w:tr>
            <w:tr w:rsidR="00556E81" w14:paraId="5640B14A" w14:textId="77777777">
              <w:trPr>
                <w:gridAfter w:val="1"/>
                <w:wAfter w:w="368" w:type="pct"/>
                <w:trHeight w:val="102"/>
                <w:tblCellSpacing w:w="0" w:type="dxa"/>
              </w:trPr>
              <w:tc>
                <w:tcPr>
                  <w:tcW w:w="980" w:type="pct"/>
                  <w:vAlign w:val="center"/>
                </w:tcPr>
                <w:p w14:paraId="0B3525DA" w14:textId="77777777" w:rsidR="00556E81" w:rsidRDefault="00556E81">
                  <w:r>
                    <w:t xml:space="preserve">Answer </w:t>
                  </w:r>
                </w:p>
              </w:tc>
              <w:tc>
                <w:tcPr>
                  <w:tcW w:w="3652" w:type="pct"/>
                  <w:gridSpan w:val="2"/>
                  <w:vAlign w:val="center"/>
                </w:tcPr>
                <w:p w14:paraId="10F9DB96" w14:textId="435EBBF3" w:rsidR="00C348F1" w:rsidRPr="00175E76" w:rsidRDefault="00BF5541">
                  <w:pPr>
                    <w:rPr>
                      <w:color w:val="000000"/>
                    </w:rPr>
                  </w:pPr>
                  <w:r w:rsidRPr="00175E76">
                    <w:rPr>
                      <w:color w:val="000000"/>
                    </w:rPr>
                    <w:t xml:space="preserve">Use the methodology given in the </w:t>
                  </w:r>
                  <w:hyperlink r:id="rId5" w:history="1">
                    <w:r w:rsidR="00EF560F" w:rsidRPr="0000305E">
                      <w:rPr>
                        <w:rStyle w:val="Hyperlink"/>
                      </w:rPr>
                      <w:t>20</w:t>
                    </w:r>
                    <w:r w:rsidR="00EF560F">
                      <w:rPr>
                        <w:rStyle w:val="Hyperlink"/>
                      </w:rPr>
                      <w:t>21</w:t>
                    </w:r>
                    <w:r w:rsidR="00EF560F" w:rsidRPr="0000305E">
                      <w:rPr>
                        <w:rStyle w:val="Hyperlink"/>
                      </w:rPr>
                      <w:t xml:space="preserve"> ASHRAE Handbook - Fundamentals</w:t>
                    </w:r>
                  </w:hyperlink>
                  <w:r w:rsidRPr="00175E76">
                    <w:rPr>
                      <w:color w:val="000000"/>
                    </w:rPr>
                    <w:t xml:space="preserve">, Chapter </w:t>
                  </w:r>
                  <w:hyperlink r:id="rId6" w:history="1">
                    <w:r w:rsidR="00EF560F" w:rsidRPr="00175E76">
                      <w:rPr>
                        <w:rStyle w:val="Hyperlink"/>
                      </w:rPr>
                      <w:t>F18</w:t>
                    </w:r>
                  </w:hyperlink>
                  <w:r w:rsidRPr="00175E76">
                    <w:rPr>
                      <w:color w:val="000000"/>
                    </w:rPr>
                    <w:t>.</w:t>
                  </w:r>
                </w:p>
                <w:p w14:paraId="5C69D698" w14:textId="77777777" w:rsidR="00BF5541" w:rsidRPr="00175E76" w:rsidRDefault="00BF5541">
                  <w:pPr>
                    <w:rPr>
                      <w:color w:val="000000"/>
                    </w:rPr>
                  </w:pPr>
                </w:p>
                <w:p w14:paraId="635A5B89" w14:textId="77777777" w:rsidR="00C348F1" w:rsidRPr="00175E76" w:rsidRDefault="00C348F1">
                  <w:pPr>
                    <w:rPr>
                      <w:color w:val="000000"/>
                    </w:rPr>
                  </w:pPr>
                  <w:r w:rsidRPr="00175E76">
                    <w:rPr>
                      <w:color w:val="000000"/>
                    </w:rPr>
                    <w:t xml:space="preserve">The ASHRAE publication titled </w:t>
                  </w:r>
                  <w:hyperlink r:id="rId7" w:history="1">
                    <w:r w:rsidR="00BF5541" w:rsidRPr="00175E76">
                      <w:rPr>
                        <w:rStyle w:val="Hyperlink"/>
                      </w:rPr>
                      <w:t>Load Calculation Applications Manual</w:t>
                    </w:r>
                  </w:hyperlink>
                  <w:r w:rsidR="00BF5541" w:rsidRPr="00175E76">
                    <w:rPr>
                      <w:color w:val="000000"/>
                    </w:rPr>
                    <w:t xml:space="preserve"> </w:t>
                  </w:r>
                  <w:r w:rsidRPr="00175E76">
                    <w:rPr>
                      <w:color w:val="000000"/>
                    </w:rPr>
                    <w:t xml:space="preserve">is the most comprehensive publication on the subject that ASHRAE makes available. </w:t>
                  </w:r>
                </w:p>
                <w:p w14:paraId="1C767A34" w14:textId="77777777" w:rsidR="00FD096A" w:rsidRPr="00175E76" w:rsidRDefault="00FD096A">
                  <w:pPr>
                    <w:rPr>
                      <w:color w:val="000000"/>
                    </w:rPr>
                  </w:pPr>
                </w:p>
                <w:p w14:paraId="083AD1CB" w14:textId="77777777" w:rsidR="00556E81" w:rsidRPr="00175E76" w:rsidRDefault="00556E81">
                  <w:pPr>
                    <w:rPr>
                      <w:color w:val="000000"/>
                    </w:rPr>
                  </w:pPr>
                  <w:r w:rsidRPr="00175E76">
                    <w:rPr>
                      <w:color w:val="000000"/>
                    </w:rPr>
                    <w:t>ASHRAE develops procedures and methods for calculating heating and cooling loads. Software developed incidental to the research project is not designed for general use and is not published. Algorithms are made available for independent software vendors. By policy, ASHRAE cannot certify, endorse or recommend any products.</w:t>
                  </w:r>
                </w:p>
                <w:p w14:paraId="538F155D" w14:textId="77777777" w:rsidR="00FD096A" w:rsidRPr="00175E76" w:rsidRDefault="00FD096A">
                  <w:pPr>
                    <w:rPr>
                      <w:color w:val="000000"/>
                    </w:rPr>
                  </w:pPr>
                </w:p>
                <w:p w14:paraId="3333689A" w14:textId="77777777" w:rsidR="00FD096A" w:rsidRPr="00175E76" w:rsidRDefault="00FD096A">
                  <w:r w:rsidRPr="00175E76">
                    <w:rPr>
                      <w:color w:val="000000"/>
                    </w:rPr>
                    <w:t xml:space="preserve">The handbook and/or individual chapters of the handbook may be purchased and downloaded on-line at our website, </w:t>
                  </w:r>
                  <w:hyperlink r:id="rId8" w:history="1">
                    <w:r w:rsidRPr="00175E76">
                      <w:rPr>
                        <w:rStyle w:val="Hyperlink"/>
                      </w:rPr>
                      <w:t>www.ashrae.org</w:t>
                    </w:r>
                  </w:hyperlink>
                  <w:r w:rsidRPr="00175E76">
                    <w:rPr>
                      <w:color w:val="000000"/>
                    </w:rPr>
                    <w:t xml:space="preserve"> or by calling 1-800-527-4723 in the </w:t>
                  </w:r>
                  <w:smartTag w:uri="urn:schemas-microsoft-com:office:smarttags" w:element="country-region">
                    <w:r w:rsidRPr="00175E76">
                      <w:rPr>
                        <w:color w:val="000000"/>
                      </w:rPr>
                      <w:t>USA</w:t>
                    </w:r>
                  </w:smartTag>
                  <w:r w:rsidRPr="00175E76">
                    <w:rPr>
                      <w:color w:val="000000"/>
                    </w:rPr>
                    <w:t xml:space="preserve"> and </w:t>
                  </w:r>
                  <w:smartTag w:uri="urn:schemas-microsoft-com:office:smarttags" w:element="country-region">
                    <w:smartTag w:uri="urn:schemas-microsoft-com:office:smarttags" w:element="place">
                      <w:r w:rsidRPr="00175E76">
                        <w:rPr>
                          <w:color w:val="000000"/>
                        </w:rPr>
                        <w:t>Canada</w:t>
                      </w:r>
                    </w:smartTag>
                  </w:smartTag>
                  <w:r w:rsidRPr="00175E76">
                    <w:rPr>
                      <w:color w:val="000000"/>
                    </w:rPr>
                    <w:t xml:space="preserve"> or 1-404-636-8400 worldwide.</w:t>
                  </w:r>
                </w:p>
              </w:tc>
            </w:tr>
            <w:tr w:rsidR="00556E81" w14:paraId="0A4EDB41" w14:textId="77777777">
              <w:trPr>
                <w:gridAfter w:val="1"/>
                <w:wAfter w:w="368" w:type="pct"/>
                <w:trHeight w:val="212"/>
                <w:tblCellSpacing w:w="0" w:type="dxa"/>
              </w:trPr>
              <w:tc>
                <w:tcPr>
                  <w:tcW w:w="4632" w:type="pct"/>
                  <w:gridSpan w:val="3"/>
                  <w:vAlign w:val="center"/>
                </w:tcPr>
                <w:p w14:paraId="0ADE3974" w14:textId="77777777" w:rsidR="00556E81" w:rsidRPr="00175E76" w:rsidRDefault="00EF560F">
                  <w:r>
                    <w:pict w14:anchorId="25317169">
                      <v:rect id="_x0000_i1028" style="width:0;height:1.5pt" o:hralign="center" o:hrstd="t" o:hr="t" fillcolor="#aca899" stroked="f"/>
                    </w:pict>
                  </w:r>
                </w:p>
              </w:tc>
            </w:tr>
            <w:tr w:rsidR="00556E81" w14:paraId="76C6A7E5" w14:textId="77777777">
              <w:trPr>
                <w:gridAfter w:val="1"/>
                <w:wAfter w:w="368" w:type="pct"/>
                <w:trHeight w:val="396"/>
                <w:tblCellSpacing w:w="0" w:type="dxa"/>
              </w:trPr>
              <w:tc>
                <w:tcPr>
                  <w:tcW w:w="980" w:type="pct"/>
                  <w:vAlign w:val="center"/>
                </w:tcPr>
                <w:p w14:paraId="0E3E045D" w14:textId="77777777" w:rsidR="00556E81" w:rsidRDefault="00556E81">
                  <w:r>
                    <w:t xml:space="preserve">ASHRAE Pubs </w:t>
                  </w:r>
                </w:p>
              </w:tc>
              <w:tc>
                <w:tcPr>
                  <w:tcW w:w="3652" w:type="pct"/>
                  <w:gridSpan w:val="2"/>
                  <w:vAlign w:val="center"/>
                </w:tcPr>
                <w:p w14:paraId="7C3A1CA7" w14:textId="2A6CAA4C" w:rsidR="00B51D1A" w:rsidRPr="00175E76" w:rsidRDefault="00EF560F" w:rsidP="00B51D1A">
                  <w:pPr>
                    <w:numPr>
                      <w:ilvl w:val="0"/>
                      <w:numId w:val="3"/>
                    </w:numPr>
                    <w:rPr>
                      <w:color w:val="000000"/>
                    </w:rPr>
                  </w:pPr>
                  <w:hyperlink r:id="rId9" w:history="1">
                    <w:r w:rsidRPr="0000305E">
                      <w:rPr>
                        <w:rStyle w:val="Hyperlink"/>
                      </w:rPr>
                      <w:t>20</w:t>
                    </w:r>
                    <w:r>
                      <w:rPr>
                        <w:rStyle w:val="Hyperlink"/>
                      </w:rPr>
                      <w:t>21</w:t>
                    </w:r>
                    <w:r w:rsidRPr="0000305E">
                      <w:rPr>
                        <w:rStyle w:val="Hyperlink"/>
                      </w:rPr>
                      <w:t xml:space="preserve"> ASHRAE Handbook - Fundamentals</w:t>
                    </w:r>
                  </w:hyperlink>
                  <w:r w:rsidR="00B51D1A" w:rsidRPr="00175E76">
                    <w:rPr>
                      <w:color w:val="000000"/>
                    </w:rPr>
                    <w:t xml:space="preserve">, </w:t>
                  </w:r>
                  <w:hyperlink r:id="rId10" w:history="1">
                    <w:r w:rsidR="007044E2" w:rsidRPr="00175E76">
                      <w:rPr>
                        <w:rStyle w:val="Hyperlink"/>
                      </w:rPr>
                      <w:t>F18</w:t>
                    </w:r>
                  </w:hyperlink>
                </w:p>
                <w:p w14:paraId="5C6A2DB3" w14:textId="77777777" w:rsidR="00B51D1A" w:rsidRPr="00175E76" w:rsidRDefault="00B51D1A" w:rsidP="00B51D1A">
                  <w:pPr>
                    <w:ind w:left="720"/>
                    <w:rPr>
                      <w:color w:val="000000"/>
                    </w:rPr>
                  </w:pPr>
                </w:p>
                <w:p w14:paraId="70680FC1" w14:textId="77777777" w:rsidR="00B51D1A" w:rsidRPr="00175E76" w:rsidRDefault="00B51D1A" w:rsidP="00B51D1A">
                  <w:pPr>
                    <w:numPr>
                      <w:ilvl w:val="0"/>
                      <w:numId w:val="3"/>
                    </w:numPr>
                    <w:rPr>
                      <w:color w:val="000000"/>
                    </w:rPr>
                  </w:pPr>
                  <w:r w:rsidRPr="00175E76">
                    <w:rPr>
                      <w:color w:val="000000"/>
                    </w:rPr>
                    <w:t xml:space="preserve"> </w:t>
                  </w:r>
                  <w:hyperlink r:id="rId11" w:history="1">
                    <w:r w:rsidRPr="00175E76">
                      <w:rPr>
                        <w:rStyle w:val="Hyperlink"/>
                      </w:rPr>
                      <w:t xml:space="preserve">Load Calculation Applications </w:t>
                    </w:r>
                    <w:r w:rsidRPr="00175E76">
                      <w:rPr>
                        <w:rStyle w:val="Hyperlink"/>
                      </w:rPr>
                      <w:t>Manual</w:t>
                    </w:r>
                  </w:hyperlink>
                  <w:r w:rsidRPr="00175E76">
                    <w:rPr>
                      <w:color w:val="000000"/>
                    </w:rPr>
                    <w:t xml:space="preserve"> </w:t>
                  </w:r>
                  <w:r w:rsidRPr="00175E76">
                    <w:rPr>
                      <w:color w:val="000000"/>
                    </w:rPr>
                    <w:br/>
                  </w:r>
                </w:p>
                <w:p w14:paraId="6331563F" w14:textId="53D07850" w:rsidR="000D1D66" w:rsidRPr="00175E76" w:rsidRDefault="00EF560F" w:rsidP="007044E2">
                  <w:pPr>
                    <w:numPr>
                      <w:ilvl w:val="0"/>
                      <w:numId w:val="3"/>
                    </w:numPr>
                    <w:rPr>
                      <w:color w:val="000000"/>
                    </w:rPr>
                  </w:pPr>
                  <w:hyperlink r:id="rId12" w:history="1">
                    <w:r w:rsidR="00B51D1A" w:rsidRPr="00175E76">
                      <w:rPr>
                        <w:rStyle w:val="Hyperlink"/>
                      </w:rPr>
                      <w:t xml:space="preserve">ASHRAE Standard </w:t>
                    </w:r>
                    <w:r w:rsidR="00B51D1A" w:rsidRPr="00175E76">
                      <w:rPr>
                        <w:rStyle w:val="Hyperlink"/>
                      </w:rPr>
                      <w:t>183-2007 (RA20</w:t>
                    </w:r>
                    <w:r>
                      <w:rPr>
                        <w:rStyle w:val="Hyperlink"/>
                      </w:rPr>
                      <w:t>20</w:t>
                    </w:r>
                    <w:r w:rsidR="00B51D1A" w:rsidRPr="00175E76">
                      <w:rPr>
                        <w:rStyle w:val="Hyperlink"/>
                      </w:rPr>
                      <w:t>),</w:t>
                    </w:r>
                  </w:hyperlink>
                  <w:r w:rsidR="00B51D1A" w:rsidRPr="00175E76">
                    <w:rPr>
                      <w:color w:val="000000"/>
                    </w:rPr>
                    <w:t xml:space="preserve"> Peak Cooling and Heating Load Calculations in Buildings Except Low-Rise Residential Buildings</w:t>
                  </w:r>
                </w:p>
              </w:tc>
            </w:tr>
            <w:tr w:rsidR="00556E81" w14:paraId="01D94B95" w14:textId="77777777">
              <w:trPr>
                <w:gridAfter w:val="1"/>
                <w:wAfter w:w="368" w:type="pct"/>
                <w:trHeight w:val="198"/>
                <w:tblCellSpacing w:w="0" w:type="dxa"/>
              </w:trPr>
              <w:tc>
                <w:tcPr>
                  <w:tcW w:w="4632" w:type="pct"/>
                  <w:gridSpan w:val="3"/>
                  <w:vAlign w:val="center"/>
                </w:tcPr>
                <w:p w14:paraId="3E23E371" w14:textId="77777777" w:rsidR="00556E81" w:rsidRPr="00DD1FCA" w:rsidRDefault="00EF560F">
                  <w:r>
                    <w:pict w14:anchorId="74D899B1">
                      <v:rect id="_x0000_i1029" style="width:0;height:1.5pt" o:hralign="center" o:hrstd="t" o:hr="t" fillcolor="#aca899" stroked="f"/>
                    </w:pict>
                  </w:r>
                </w:p>
              </w:tc>
            </w:tr>
            <w:tr w:rsidR="00556E81" w14:paraId="74C291AD" w14:textId="77777777">
              <w:trPr>
                <w:gridAfter w:val="1"/>
                <w:wAfter w:w="368" w:type="pct"/>
                <w:trHeight w:val="396"/>
                <w:tblCellSpacing w:w="0" w:type="dxa"/>
              </w:trPr>
              <w:tc>
                <w:tcPr>
                  <w:tcW w:w="980" w:type="pct"/>
                  <w:vAlign w:val="center"/>
                </w:tcPr>
                <w:p w14:paraId="08354B54" w14:textId="77777777" w:rsidR="00556E81" w:rsidRDefault="00556E81">
                  <w:r>
                    <w:t xml:space="preserve">Topic References </w:t>
                  </w:r>
                </w:p>
              </w:tc>
              <w:tc>
                <w:tcPr>
                  <w:tcW w:w="3652" w:type="pct"/>
                  <w:gridSpan w:val="2"/>
                  <w:vAlign w:val="center"/>
                </w:tcPr>
                <w:p w14:paraId="7F9791D5" w14:textId="77777777" w:rsidR="00556E81" w:rsidRPr="00DD1FCA" w:rsidRDefault="00556E81">
                  <w:r w:rsidRPr="00DD1FCA">
                    <w:rPr>
                      <w:color w:val="000000"/>
                    </w:rPr>
                    <w:t>load calculations, heating load, cooling load, size, tons</w:t>
                  </w:r>
                </w:p>
              </w:tc>
            </w:tr>
            <w:tr w:rsidR="00556E81" w14:paraId="3E5A4BAE" w14:textId="77777777">
              <w:trPr>
                <w:trHeight w:val="198"/>
                <w:tblCellSpacing w:w="0" w:type="dxa"/>
              </w:trPr>
              <w:tc>
                <w:tcPr>
                  <w:tcW w:w="5000" w:type="pct"/>
                  <w:gridSpan w:val="4"/>
                  <w:vAlign w:val="center"/>
                </w:tcPr>
                <w:p w14:paraId="675B8DC2" w14:textId="77777777" w:rsidR="00556E81" w:rsidRDefault="00EF560F">
                  <w:r>
                    <w:pict w14:anchorId="348CFF42">
                      <v:rect id="_x0000_i1030" style="width:0;height:1.5pt" o:hralign="center" o:hrstd="t" o:hr="t" fillcolor="#aca899" stroked="f"/>
                    </w:pict>
                  </w:r>
                </w:p>
              </w:tc>
            </w:tr>
            <w:tr w:rsidR="00556E81" w14:paraId="0005AD49" w14:textId="77777777">
              <w:trPr>
                <w:gridAfter w:val="2"/>
                <w:wAfter w:w="399" w:type="pct"/>
                <w:trHeight w:val="2121"/>
                <w:tblCellSpacing w:w="0" w:type="dxa"/>
              </w:trPr>
              <w:tc>
                <w:tcPr>
                  <w:tcW w:w="4601" w:type="pct"/>
                  <w:gridSpan w:val="2"/>
                  <w:vAlign w:val="center"/>
                </w:tcPr>
                <w:tbl>
                  <w:tblPr>
                    <w:tblW w:w="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3600"/>
                    <w:gridCol w:w="2520"/>
                  </w:tblGrid>
                  <w:tr w:rsidR="00556E81" w14:paraId="793F19C0" w14:textId="77777777" w:rsidTr="00EF6E86">
                    <w:trPr>
                      <w:trHeight w:val="316"/>
                      <w:jc w:val="center"/>
                    </w:trPr>
                    <w:tc>
                      <w:tcPr>
                        <w:tcW w:w="460" w:type="dxa"/>
                      </w:tcPr>
                      <w:p w14:paraId="291623E2" w14:textId="77777777" w:rsidR="00556E81" w:rsidRDefault="00556E81"/>
                    </w:tc>
                    <w:tc>
                      <w:tcPr>
                        <w:tcW w:w="3600" w:type="dxa"/>
                      </w:tcPr>
                      <w:p w14:paraId="516B6E7E" w14:textId="77777777" w:rsidR="00556E81" w:rsidRDefault="00556E81">
                        <w:r>
                          <w:t>Cognizant ASHRAE Committees</w:t>
                        </w:r>
                      </w:p>
                    </w:tc>
                    <w:tc>
                      <w:tcPr>
                        <w:tcW w:w="2520" w:type="dxa"/>
                      </w:tcPr>
                      <w:p w14:paraId="217AA600" w14:textId="77777777" w:rsidR="00556E81" w:rsidRDefault="00556E81">
                        <w:r>
                          <w:t>Refer to Organization</w:t>
                        </w:r>
                      </w:p>
                    </w:tc>
                  </w:tr>
                  <w:tr w:rsidR="00556E81" w14:paraId="12BA00A3" w14:textId="77777777" w:rsidTr="00EF6E86">
                    <w:trPr>
                      <w:trHeight w:val="293"/>
                      <w:jc w:val="center"/>
                    </w:trPr>
                    <w:tc>
                      <w:tcPr>
                        <w:tcW w:w="460" w:type="dxa"/>
                      </w:tcPr>
                      <w:p w14:paraId="04CBCD18" w14:textId="77777777" w:rsidR="00556E81" w:rsidRDefault="00556E81">
                        <w:r>
                          <w:t>1</w:t>
                        </w:r>
                      </w:p>
                    </w:tc>
                    <w:tc>
                      <w:tcPr>
                        <w:tcW w:w="3600" w:type="dxa"/>
                      </w:tcPr>
                      <w:p w14:paraId="1987CC64" w14:textId="77777777" w:rsidR="00556E81" w:rsidRPr="008509BD" w:rsidRDefault="00EF560F">
                        <w:pPr>
                          <w:rPr>
                            <w:highlight w:val="yellow"/>
                          </w:rPr>
                        </w:pPr>
                        <w:hyperlink r:id="rId13" w:history="1">
                          <w:r w:rsidR="00175E76" w:rsidRPr="0000305E">
                            <w:rPr>
                              <w:rStyle w:val="Hyperlink"/>
                            </w:rPr>
                            <w:t>TC 4.1</w:t>
                          </w:r>
                        </w:hyperlink>
                      </w:p>
                    </w:tc>
                    <w:tc>
                      <w:tcPr>
                        <w:tcW w:w="2520" w:type="dxa"/>
                      </w:tcPr>
                      <w:p w14:paraId="09B8D46D" w14:textId="77777777" w:rsidR="00556E81" w:rsidRDefault="00556E81"/>
                    </w:tc>
                  </w:tr>
                  <w:tr w:rsidR="00556E81" w14:paraId="6D0FF8F4" w14:textId="77777777" w:rsidTr="00EF6E86">
                    <w:trPr>
                      <w:trHeight w:val="293"/>
                      <w:jc w:val="center"/>
                    </w:trPr>
                    <w:tc>
                      <w:tcPr>
                        <w:tcW w:w="460" w:type="dxa"/>
                      </w:tcPr>
                      <w:p w14:paraId="04B7390C" w14:textId="77777777" w:rsidR="00556E81" w:rsidRDefault="00556E81">
                        <w:r>
                          <w:t>2</w:t>
                        </w:r>
                      </w:p>
                    </w:tc>
                    <w:tc>
                      <w:tcPr>
                        <w:tcW w:w="3600" w:type="dxa"/>
                      </w:tcPr>
                      <w:p w14:paraId="04142DF2" w14:textId="77777777" w:rsidR="00556E81" w:rsidRDefault="00556E81"/>
                    </w:tc>
                    <w:tc>
                      <w:tcPr>
                        <w:tcW w:w="2520" w:type="dxa"/>
                      </w:tcPr>
                      <w:p w14:paraId="15335351" w14:textId="77777777" w:rsidR="00556E81" w:rsidRDefault="00556E81"/>
                    </w:tc>
                  </w:tr>
                  <w:tr w:rsidR="00556E81" w14:paraId="3C7302EF" w14:textId="77777777" w:rsidTr="00EF6E86">
                    <w:trPr>
                      <w:trHeight w:val="293"/>
                      <w:jc w:val="center"/>
                    </w:trPr>
                    <w:tc>
                      <w:tcPr>
                        <w:tcW w:w="460" w:type="dxa"/>
                      </w:tcPr>
                      <w:p w14:paraId="18CEA121" w14:textId="77777777" w:rsidR="00556E81" w:rsidRDefault="00556E81">
                        <w:r>
                          <w:t>3</w:t>
                        </w:r>
                      </w:p>
                    </w:tc>
                    <w:tc>
                      <w:tcPr>
                        <w:tcW w:w="3600" w:type="dxa"/>
                      </w:tcPr>
                      <w:p w14:paraId="4A082576" w14:textId="77777777" w:rsidR="00556E81" w:rsidRDefault="00556E81"/>
                    </w:tc>
                    <w:tc>
                      <w:tcPr>
                        <w:tcW w:w="2520" w:type="dxa"/>
                      </w:tcPr>
                      <w:p w14:paraId="3591FBBB" w14:textId="77777777" w:rsidR="00556E81" w:rsidRDefault="00556E81"/>
                    </w:tc>
                  </w:tr>
                  <w:tr w:rsidR="00556E81" w14:paraId="79B01C0B" w14:textId="77777777" w:rsidTr="00EF6E86">
                    <w:trPr>
                      <w:trHeight w:val="316"/>
                      <w:jc w:val="center"/>
                    </w:trPr>
                    <w:tc>
                      <w:tcPr>
                        <w:tcW w:w="460" w:type="dxa"/>
                      </w:tcPr>
                      <w:p w14:paraId="23446809" w14:textId="77777777" w:rsidR="00556E81" w:rsidRDefault="00556E81">
                        <w:r>
                          <w:t>4</w:t>
                        </w:r>
                      </w:p>
                    </w:tc>
                    <w:tc>
                      <w:tcPr>
                        <w:tcW w:w="3600" w:type="dxa"/>
                      </w:tcPr>
                      <w:p w14:paraId="1257F99D" w14:textId="77777777" w:rsidR="00556E81" w:rsidRDefault="00556E81"/>
                    </w:tc>
                    <w:tc>
                      <w:tcPr>
                        <w:tcW w:w="2520" w:type="dxa"/>
                      </w:tcPr>
                      <w:p w14:paraId="540FB56E" w14:textId="77777777" w:rsidR="00556E81" w:rsidRDefault="00556E81"/>
                    </w:tc>
                  </w:tr>
                  <w:tr w:rsidR="00556E81" w14:paraId="1A612AC4" w14:textId="77777777" w:rsidTr="00EF6E86">
                    <w:trPr>
                      <w:trHeight w:val="316"/>
                      <w:jc w:val="center"/>
                    </w:trPr>
                    <w:tc>
                      <w:tcPr>
                        <w:tcW w:w="460" w:type="dxa"/>
                      </w:tcPr>
                      <w:p w14:paraId="7430BF17" w14:textId="77777777" w:rsidR="00556E81" w:rsidRDefault="00556E81">
                        <w:r>
                          <w:t>5</w:t>
                        </w:r>
                      </w:p>
                    </w:tc>
                    <w:tc>
                      <w:tcPr>
                        <w:tcW w:w="3600" w:type="dxa"/>
                      </w:tcPr>
                      <w:p w14:paraId="0D1FC12E" w14:textId="77777777" w:rsidR="00556E81" w:rsidRDefault="00556E81"/>
                    </w:tc>
                    <w:tc>
                      <w:tcPr>
                        <w:tcW w:w="2520" w:type="dxa"/>
                      </w:tcPr>
                      <w:p w14:paraId="1642C3E0" w14:textId="77777777" w:rsidR="00556E81" w:rsidRDefault="00556E81"/>
                    </w:tc>
                  </w:tr>
                </w:tbl>
                <w:p w14:paraId="1CB25222" w14:textId="77777777" w:rsidR="00556E81" w:rsidRDefault="00556E81"/>
              </w:tc>
            </w:tr>
            <w:tr w:rsidR="00556E81" w14:paraId="3B182C1B" w14:textId="77777777">
              <w:trPr>
                <w:trHeight w:val="212"/>
                <w:tblCellSpacing w:w="0" w:type="dxa"/>
              </w:trPr>
              <w:tc>
                <w:tcPr>
                  <w:tcW w:w="5000" w:type="pct"/>
                  <w:gridSpan w:val="4"/>
                  <w:vAlign w:val="center"/>
                </w:tcPr>
                <w:p w14:paraId="74D56F35" w14:textId="77777777" w:rsidR="00556E81" w:rsidRDefault="00556E81"/>
              </w:tc>
            </w:tr>
          </w:tbl>
          <w:p w14:paraId="2960E625" w14:textId="77777777" w:rsidR="00556E81" w:rsidRDefault="00556E81"/>
        </w:tc>
        <w:tc>
          <w:tcPr>
            <w:tcW w:w="0" w:type="auto"/>
            <w:vAlign w:val="center"/>
          </w:tcPr>
          <w:p w14:paraId="0569E739" w14:textId="77777777" w:rsidR="00556E81" w:rsidRDefault="00556E81">
            <w:pPr>
              <w:rPr>
                <w:sz w:val="20"/>
                <w:szCs w:val="20"/>
              </w:rPr>
            </w:pPr>
          </w:p>
        </w:tc>
      </w:tr>
    </w:tbl>
    <w:p w14:paraId="5F102002" w14:textId="77777777" w:rsidR="0073616E" w:rsidRPr="005E4570" w:rsidRDefault="0073616E" w:rsidP="000869CB"/>
    <w:sectPr w:rsidR="0073616E" w:rsidRPr="005E4570" w:rsidSect="00175E76">
      <w:pgSz w:w="12240" w:h="15840"/>
      <w:pgMar w:top="90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91CBC"/>
    <w:multiLevelType w:val="hybridMultilevel"/>
    <w:tmpl w:val="2A60FBD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F7C309B"/>
    <w:multiLevelType w:val="hybridMultilevel"/>
    <w:tmpl w:val="E39C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581650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5791887">
    <w:abstractNumId w:val="1"/>
  </w:num>
  <w:num w:numId="3" w16cid:durableId="167465039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96CE0"/>
    <w:rsid w:val="000142F9"/>
    <w:rsid w:val="00026B8D"/>
    <w:rsid w:val="000405EC"/>
    <w:rsid w:val="00043D6E"/>
    <w:rsid w:val="0005555B"/>
    <w:rsid w:val="00055DE7"/>
    <w:rsid w:val="000869CB"/>
    <w:rsid w:val="000A4C5E"/>
    <w:rsid w:val="000B1E64"/>
    <w:rsid w:val="000C17CC"/>
    <w:rsid w:val="000C3D1F"/>
    <w:rsid w:val="000C7C12"/>
    <w:rsid w:val="000D1D66"/>
    <w:rsid w:val="000D61FB"/>
    <w:rsid w:val="000E41B2"/>
    <w:rsid w:val="000E46C8"/>
    <w:rsid w:val="000E4A46"/>
    <w:rsid w:val="000E7628"/>
    <w:rsid w:val="000E7C89"/>
    <w:rsid w:val="00105431"/>
    <w:rsid w:val="00111AD9"/>
    <w:rsid w:val="00133B32"/>
    <w:rsid w:val="00136D1C"/>
    <w:rsid w:val="001538C4"/>
    <w:rsid w:val="00167169"/>
    <w:rsid w:val="00175DE5"/>
    <w:rsid w:val="00175E76"/>
    <w:rsid w:val="00176F30"/>
    <w:rsid w:val="00177D55"/>
    <w:rsid w:val="001847A7"/>
    <w:rsid w:val="001935DF"/>
    <w:rsid w:val="0019749A"/>
    <w:rsid w:val="001B7130"/>
    <w:rsid w:val="001C26B7"/>
    <w:rsid w:val="001F0C26"/>
    <w:rsid w:val="002051F5"/>
    <w:rsid w:val="0020535B"/>
    <w:rsid w:val="00211082"/>
    <w:rsid w:val="002173A6"/>
    <w:rsid w:val="002231AA"/>
    <w:rsid w:val="00252728"/>
    <w:rsid w:val="00257E60"/>
    <w:rsid w:val="00271495"/>
    <w:rsid w:val="0027767A"/>
    <w:rsid w:val="002779BB"/>
    <w:rsid w:val="00281782"/>
    <w:rsid w:val="002825E3"/>
    <w:rsid w:val="002B0D3F"/>
    <w:rsid w:val="002B6692"/>
    <w:rsid w:val="002C6A17"/>
    <w:rsid w:val="002E45EC"/>
    <w:rsid w:val="002F4E1B"/>
    <w:rsid w:val="002F6C9C"/>
    <w:rsid w:val="003018C0"/>
    <w:rsid w:val="003117BC"/>
    <w:rsid w:val="003121B2"/>
    <w:rsid w:val="003478DA"/>
    <w:rsid w:val="00354FC9"/>
    <w:rsid w:val="00356BED"/>
    <w:rsid w:val="00357E79"/>
    <w:rsid w:val="00377685"/>
    <w:rsid w:val="003857A7"/>
    <w:rsid w:val="003A0081"/>
    <w:rsid w:val="003A1FF8"/>
    <w:rsid w:val="003A2FCC"/>
    <w:rsid w:val="003A4629"/>
    <w:rsid w:val="003A7837"/>
    <w:rsid w:val="003B7412"/>
    <w:rsid w:val="003C4E8B"/>
    <w:rsid w:val="003D4ED5"/>
    <w:rsid w:val="003F4FA8"/>
    <w:rsid w:val="0040222F"/>
    <w:rsid w:val="004138CF"/>
    <w:rsid w:val="004265F2"/>
    <w:rsid w:val="004275F8"/>
    <w:rsid w:val="00437DC1"/>
    <w:rsid w:val="004424C2"/>
    <w:rsid w:val="004466ED"/>
    <w:rsid w:val="0044728F"/>
    <w:rsid w:val="004543E1"/>
    <w:rsid w:val="00454431"/>
    <w:rsid w:val="00460FE3"/>
    <w:rsid w:val="0047321C"/>
    <w:rsid w:val="004816F2"/>
    <w:rsid w:val="004A37B0"/>
    <w:rsid w:val="004A4C42"/>
    <w:rsid w:val="004F4E62"/>
    <w:rsid w:val="004F534E"/>
    <w:rsid w:val="00526CA2"/>
    <w:rsid w:val="005373C0"/>
    <w:rsid w:val="00554020"/>
    <w:rsid w:val="00555DE5"/>
    <w:rsid w:val="00556E81"/>
    <w:rsid w:val="00560EF1"/>
    <w:rsid w:val="005614FF"/>
    <w:rsid w:val="00571372"/>
    <w:rsid w:val="00573B26"/>
    <w:rsid w:val="005750B3"/>
    <w:rsid w:val="00575DE3"/>
    <w:rsid w:val="005823A8"/>
    <w:rsid w:val="005C2DAE"/>
    <w:rsid w:val="005C3B4D"/>
    <w:rsid w:val="005D5A07"/>
    <w:rsid w:val="005E1EF4"/>
    <w:rsid w:val="005E4570"/>
    <w:rsid w:val="005F09FF"/>
    <w:rsid w:val="005F5381"/>
    <w:rsid w:val="005F6297"/>
    <w:rsid w:val="00634806"/>
    <w:rsid w:val="00650ACA"/>
    <w:rsid w:val="006A394D"/>
    <w:rsid w:val="006B4FBD"/>
    <w:rsid w:val="006B6767"/>
    <w:rsid w:val="006C4140"/>
    <w:rsid w:val="006E623D"/>
    <w:rsid w:val="006F2C88"/>
    <w:rsid w:val="006F48B2"/>
    <w:rsid w:val="007017C3"/>
    <w:rsid w:val="007044E2"/>
    <w:rsid w:val="00706381"/>
    <w:rsid w:val="00706556"/>
    <w:rsid w:val="00714365"/>
    <w:rsid w:val="00724256"/>
    <w:rsid w:val="0073616E"/>
    <w:rsid w:val="007467D8"/>
    <w:rsid w:val="00757A1E"/>
    <w:rsid w:val="007630B1"/>
    <w:rsid w:val="007712CD"/>
    <w:rsid w:val="007776A6"/>
    <w:rsid w:val="00785213"/>
    <w:rsid w:val="0078711F"/>
    <w:rsid w:val="007B0644"/>
    <w:rsid w:val="007B13FA"/>
    <w:rsid w:val="007B4575"/>
    <w:rsid w:val="007D4461"/>
    <w:rsid w:val="007D767C"/>
    <w:rsid w:val="00805C24"/>
    <w:rsid w:val="0081008C"/>
    <w:rsid w:val="00813A3D"/>
    <w:rsid w:val="00830AF5"/>
    <w:rsid w:val="008462B8"/>
    <w:rsid w:val="00850063"/>
    <w:rsid w:val="008509BD"/>
    <w:rsid w:val="0087000C"/>
    <w:rsid w:val="008701B3"/>
    <w:rsid w:val="00881807"/>
    <w:rsid w:val="008A1C67"/>
    <w:rsid w:val="008A5008"/>
    <w:rsid w:val="008A784F"/>
    <w:rsid w:val="008B3AE9"/>
    <w:rsid w:val="008C0BEF"/>
    <w:rsid w:val="008C5134"/>
    <w:rsid w:val="008D2B09"/>
    <w:rsid w:val="008D5447"/>
    <w:rsid w:val="008E7528"/>
    <w:rsid w:val="00905825"/>
    <w:rsid w:val="00931EEA"/>
    <w:rsid w:val="00946D49"/>
    <w:rsid w:val="009515BA"/>
    <w:rsid w:val="00954341"/>
    <w:rsid w:val="00961F04"/>
    <w:rsid w:val="009A0BC4"/>
    <w:rsid w:val="009B6C9C"/>
    <w:rsid w:val="009C1218"/>
    <w:rsid w:val="009D09C4"/>
    <w:rsid w:val="009D7989"/>
    <w:rsid w:val="009E45F0"/>
    <w:rsid w:val="009F0A2B"/>
    <w:rsid w:val="00A0432D"/>
    <w:rsid w:val="00A07B27"/>
    <w:rsid w:val="00A35BBF"/>
    <w:rsid w:val="00A41EB6"/>
    <w:rsid w:val="00A428DA"/>
    <w:rsid w:val="00A42B5B"/>
    <w:rsid w:val="00A4684A"/>
    <w:rsid w:val="00A479A0"/>
    <w:rsid w:val="00A731E6"/>
    <w:rsid w:val="00AF77C5"/>
    <w:rsid w:val="00B02942"/>
    <w:rsid w:val="00B03616"/>
    <w:rsid w:val="00B0665D"/>
    <w:rsid w:val="00B07CE6"/>
    <w:rsid w:val="00B23A11"/>
    <w:rsid w:val="00B439CB"/>
    <w:rsid w:val="00B46DED"/>
    <w:rsid w:val="00B518D4"/>
    <w:rsid w:val="00B51D1A"/>
    <w:rsid w:val="00B51FB5"/>
    <w:rsid w:val="00B55B3A"/>
    <w:rsid w:val="00B662F7"/>
    <w:rsid w:val="00B76549"/>
    <w:rsid w:val="00B901B4"/>
    <w:rsid w:val="00BA430A"/>
    <w:rsid w:val="00BA6202"/>
    <w:rsid w:val="00BB62F2"/>
    <w:rsid w:val="00BB7846"/>
    <w:rsid w:val="00BC784B"/>
    <w:rsid w:val="00BD3079"/>
    <w:rsid w:val="00BD3FC3"/>
    <w:rsid w:val="00BE505D"/>
    <w:rsid w:val="00BF31F7"/>
    <w:rsid w:val="00BF5541"/>
    <w:rsid w:val="00C05DCF"/>
    <w:rsid w:val="00C164C6"/>
    <w:rsid w:val="00C24D36"/>
    <w:rsid w:val="00C348F1"/>
    <w:rsid w:val="00C41BCD"/>
    <w:rsid w:val="00C659F8"/>
    <w:rsid w:val="00C7107C"/>
    <w:rsid w:val="00C807C9"/>
    <w:rsid w:val="00CB0012"/>
    <w:rsid w:val="00CB24A4"/>
    <w:rsid w:val="00CE0D06"/>
    <w:rsid w:val="00D1154F"/>
    <w:rsid w:val="00D30DFC"/>
    <w:rsid w:val="00D34EBB"/>
    <w:rsid w:val="00D35BE4"/>
    <w:rsid w:val="00D37FAB"/>
    <w:rsid w:val="00D4058C"/>
    <w:rsid w:val="00D52DA1"/>
    <w:rsid w:val="00D829FF"/>
    <w:rsid w:val="00DA2376"/>
    <w:rsid w:val="00DC7123"/>
    <w:rsid w:val="00DD073D"/>
    <w:rsid w:val="00DE21F3"/>
    <w:rsid w:val="00DF0848"/>
    <w:rsid w:val="00E11623"/>
    <w:rsid w:val="00E14B10"/>
    <w:rsid w:val="00E16CD2"/>
    <w:rsid w:val="00E27DD7"/>
    <w:rsid w:val="00E33E07"/>
    <w:rsid w:val="00E36E9E"/>
    <w:rsid w:val="00E57ACB"/>
    <w:rsid w:val="00E62952"/>
    <w:rsid w:val="00E71EAA"/>
    <w:rsid w:val="00E75C62"/>
    <w:rsid w:val="00E83E50"/>
    <w:rsid w:val="00E86038"/>
    <w:rsid w:val="00EA3DD3"/>
    <w:rsid w:val="00EB0FEE"/>
    <w:rsid w:val="00EB72AB"/>
    <w:rsid w:val="00EB7677"/>
    <w:rsid w:val="00EF33A2"/>
    <w:rsid w:val="00EF560F"/>
    <w:rsid w:val="00EF6E86"/>
    <w:rsid w:val="00F00D4E"/>
    <w:rsid w:val="00F0454E"/>
    <w:rsid w:val="00F070C1"/>
    <w:rsid w:val="00F16773"/>
    <w:rsid w:val="00F200D0"/>
    <w:rsid w:val="00F20FB8"/>
    <w:rsid w:val="00F430E2"/>
    <w:rsid w:val="00F455AD"/>
    <w:rsid w:val="00F544EB"/>
    <w:rsid w:val="00F62AEB"/>
    <w:rsid w:val="00F64BF0"/>
    <w:rsid w:val="00F76334"/>
    <w:rsid w:val="00F87B2D"/>
    <w:rsid w:val="00F96CE0"/>
    <w:rsid w:val="00FA5F51"/>
    <w:rsid w:val="00FB506A"/>
    <w:rsid w:val="00FB639A"/>
    <w:rsid w:val="00FC5F98"/>
    <w:rsid w:val="00FD096A"/>
    <w:rsid w:val="00FF7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32"/>
    <o:shapelayout v:ext="edit">
      <o:idmap v:ext="edit" data="1"/>
    </o:shapelayout>
  </w:shapeDefaults>
  <w:decimalSymbol w:val="."/>
  <w:listSeparator w:val=","/>
  <w14:docId w14:val="6A80311E"/>
  <w15:chartTrackingRefBased/>
  <w15:docId w15:val="{195419FD-BD2C-436C-BCD7-124F70CE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E1162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56E81"/>
    <w:rPr>
      <w:color w:val="0000FF"/>
      <w:u w:val="single"/>
    </w:rPr>
  </w:style>
  <w:style w:type="character" w:styleId="FollowedHyperlink">
    <w:name w:val="FollowedHyperlink"/>
    <w:basedOn w:val="DefaultParagraphFont"/>
    <w:rsid w:val="0070655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7431">
      <w:bodyDiv w:val="1"/>
      <w:marLeft w:val="0"/>
      <w:marRight w:val="0"/>
      <w:marTop w:val="0"/>
      <w:marBottom w:val="0"/>
      <w:divBdr>
        <w:top w:val="none" w:sz="0" w:space="0" w:color="auto"/>
        <w:left w:val="none" w:sz="0" w:space="0" w:color="auto"/>
        <w:bottom w:val="none" w:sz="0" w:space="0" w:color="auto"/>
        <w:right w:val="none" w:sz="0" w:space="0" w:color="auto"/>
      </w:divBdr>
    </w:div>
    <w:div w:id="1085304968">
      <w:bodyDiv w:val="1"/>
      <w:marLeft w:val="0"/>
      <w:marRight w:val="0"/>
      <w:marTop w:val="0"/>
      <w:marBottom w:val="0"/>
      <w:divBdr>
        <w:top w:val="none" w:sz="0" w:space="0" w:color="auto"/>
        <w:left w:val="none" w:sz="0" w:space="0" w:color="auto"/>
        <w:bottom w:val="none" w:sz="0" w:space="0" w:color="auto"/>
        <w:right w:val="none" w:sz="0" w:space="0" w:color="auto"/>
      </w:divBdr>
    </w:div>
    <w:div w:id="1979339148">
      <w:bodyDiv w:val="1"/>
      <w:marLeft w:val="0"/>
      <w:marRight w:val="0"/>
      <w:marTop w:val="0"/>
      <w:marBottom w:val="0"/>
      <w:divBdr>
        <w:top w:val="none" w:sz="0" w:space="0" w:color="auto"/>
        <w:left w:val="none" w:sz="0" w:space="0" w:color="auto"/>
        <w:bottom w:val="none" w:sz="0" w:space="0" w:color="auto"/>
        <w:right w:val="none" w:sz="0" w:space="0" w:color="auto"/>
      </w:divBdr>
    </w:div>
    <w:div w:id="21269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hrae.org" TargetMode="External"/><Relationship Id="rId13" Type="http://schemas.openxmlformats.org/officeDocument/2006/relationships/hyperlink" Target="http://tc0401.ashraetcs.org/" TargetMode="External"/><Relationship Id="rId3" Type="http://schemas.openxmlformats.org/officeDocument/2006/relationships/settings" Target="settings.xml"/><Relationship Id="rId7" Type="http://schemas.openxmlformats.org/officeDocument/2006/relationships/hyperlink" Target="http://www.techstreet.com/ashrae/products/1886730" TargetMode="External"/><Relationship Id="rId12" Type="http://schemas.openxmlformats.org/officeDocument/2006/relationships/hyperlink" Target="https://www.techstreet.com/ashrae/standards/ashrae-183-2007-ra-2020?product_id=22020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chstreet.com/ashrae/standards/f18-nonresidential-cooling-and-heating-load-calculations-i-p?product_id=2232331" TargetMode="External"/><Relationship Id="rId11" Type="http://schemas.openxmlformats.org/officeDocument/2006/relationships/hyperlink" Target="http://www.techstreet.com/ashrae/products/1886730" TargetMode="External"/><Relationship Id="rId5" Type="http://schemas.openxmlformats.org/officeDocument/2006/relationships/hyperlink" Target="https://www.techstreet.com/ashrae/standards/2021-ashrae-handbook-fundamentals-i-p?product_id=2224991" TargetMode="External"/><Relationship Id="rId15" Type="http://schemas.openxmlformats.org/officeDocument/2006/relationships/theme" Target="theme/theme1.xml"/><Relationship Id="rId10" Type="http://schemas.openxmlformats.org/officeDocument/2006/relationships/hyperlink" Target="https://www.techstreet.com/ashrae/standards/f18-nonresidential-cooling-and-heating-load-calculations-i-p?product_id=2232331" TargetMode="External"/><Relationship Id="rId4" Type="http://schemas.openxmlformats.org/officeDocument/2006/relationships/webSettings" Target="webSettings.xml"/><Relationship Id="rId9" Type="http://schemas.openxmlformats.org/officeDocument/2006/relationships/hyperlink" Target="https://www.techstreet.com/ashrae/standards/2021-ashrae-handbook-fundamentals-i-p?product_id=222499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ID Number:</vt:lpstr>
    </vt:vector>
  </TitlesOfParts>
  <Company>ashrae</Company>
  <LinksUpToDate>false</LinksUpToDate>
  <CharactersWithSpaces>2118</CharactersWithSpaces>
  <SharedDoc>false</SharedDoc>
  <HLinks>
    <vt:vector size="54" baseType="variant">
      <vt:variant>
        <vt:i4>3211324</vt:i4>
      </vt:variant>
      <vt:variant>
        <vt:i4>24</vt:i4>
      </vt:variant>
      <vt:variant>
        <vt:i4>0</vt:i4>
      </vt:variant>
      <vt:variant>
        <vt:i4>5</vt:i4>
      </vt:variant>
      <vt:variant>
        <vt:lpwstr>http://tc41.ashraetcs.org/</vt:lpwstr>
      </vt:variant>
      <vt:variant>
        <vt:lpwstr/>
      </vt:variant>
      <vt:variant>
        <vt:i4>7667723</vt:i4>
      </vt:variant>
      <vt:variant>
        <vt:i4>21</vt:i4>
      </vt:variant>
      <vt:variant>
        <vt:i4>0</vt:i4>
      </vt:variant>
      <vt:variant>
        <vt:i4>5</vt:i4>
      </vt:variant>
      <vt:variant>
        <vt:lpwstr>http://www.techstreet.com/standards/ashrae/183_2007_ra_2011_?product_id=1771690</vt:lpwstr>
      </vt:variant>
      <vt:variant>
        <vt:lpwstr/>
      </vt:variant>
      <vt:variant>
        <vt:i4>2883599</vt:i4>
      </vt:variant>
      <vt:variant>
        <vt:i4>18</vt:i4>
      </vt:variant>
      <vt:variant>
        <vt:i4>0</vt:i4>
      </vt:variant>
      <vt:variant>
        <vt:i4>5</vt:i4>
      </vt:variant>
      <vt:variant>
        <vt:lpwstr>http://www.techstreet.com/cgi-bin/detail?product_id=1703600</vt:lpwstr>
      </vt:variant>
      <vt:variant>
        <vt:lpwstr/>
      </vt:variant>
      <vt:variant>
        <vt:i4>2031673</vt:i4>
      </vt:variant>
      <vt:variant>
        <vt:i4>15</vt:i4>
      </vt:variant>
      <vt:variant>
        <vt:i4>0</vt:i4>
      </vt:variant>
      <vt:variant>
        <vt:i4>5</vt:i4>
      </vt:variant>
      <vt:variant>
        <vt:lpwstr>http://www.techstreet.com/standards/ashrae/f18_2009_i_p_?product_id=1651438</vt:lpwstr>
      </vt:variant>
      <vt:variant>
        <vt:lpwstr/>
      </vt:variant>
      <vt:variant>
        <vt:i4>3014664</vt:i4>
      </vt:variant>
      <vt:variant>
        <vt:i4>12</vt:i4>
      </vt:variant>
      <vt:variant>
        <vt:i4>0</vt:i4>
      </vt:variant>
      <vt:variant>
        <vt:i4>5</vt:i4>
      </vt:variant>
      <vt:variant>
        <vt:lpwstr>http://www.techstreet.com/cgi-bin/detail?product_id=1626368</vt:lpwstr>
      </vt:variant>
      <vt:variant>
        <vt:lpwstr/>
      </vt:variant>
      <vt:variant>
        <vt:i4>3145788</vt:i4>
      </vt:variant>
      <vt:variant>
        <vt:i4>9</vt:i4>
      </vt:variant>
      <vt:variant>
        <vt:i4>0</vt:i4>
      </vt:variant>
      <vt:variant>
        <vt:i4>5</vt:i4>
      </vt:variant>
      <vt:variant>
        <vt:lpwstr>http://www.ashrae.org/</vt:lpwstr>
      </vt:variant>
      <vt:variant>
        <vt:lpwstr/>
      </vt:variant>
      <vt:variant>
        <vt:i4>2883599</vt:i4>
      </vt:variant>
      <vt:variant>
        <vt:i4>6</vt:i4>
      </vt:variant>
      <vt:variant>
        <vt:i4>0</vt:i4>
      </vt:variant>
      <vt:variant>
        <vt:i4>5</vt:i4>
      </vt:variant>
      <vt:variant>
        <vt:lpwstr>http://www.techstreet.com/cgi-bin/detail?product_id=1703600</vt:lpwstr>
      </vt:variant>
      <vt:variant>
        <vt:lpwstr/>
      </vt:variant>
      <vt:variant>
        <vt:i4>2031673</vt:i4>
      </vt:variant>
      <vt:variant>
        <vt:i4>3</vt:i4>
      </vt:variant>
      <vt:variant>
        <vt:i4>0</vt:i4>
      </vt:variant>
      <vt:variant>
        <vt:i4>5</vt:i4>
      </vt:variant>
      <vt:variant>
        <vt:lpwstr>http://www.techstreet.com/standards/ashrae/f18_2009_i_p_?product_id=1651438</vt:lpwstr>
      </vt:variant>
      <vt:variant>
        <vt:lpwstr/>
      </vt:variant>
      <vt:variant>
        <vt:i4>3014664</vt:i4>
      </vt:variant>
      <vt:variant>
        <vt:i4>0</vt:i4>
      </vt:variant>
      <vt:variant>
        <vt:i4>0</vt:i4>
      </vt:variant>
      <vt:variant>
        <vt:i4>5</vt:i4>
      </vt:variant>
      <vt:variant>
        <vt:lpwstr>http://www.techstreet.com/cgi-bin/detail?product_id=1626368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Number:</dc:title>
  <dc:subject/>
  <dc:creator>shammerling</dc:creator>
  <cp:keywords/>
  <dc:description/>
  <cp:lastModifiedBy>Hammerling, Steve</cp:lastModifiedBy>
  <cp:revision>6</cp:revision>
  <cp:lastPrinted>2014-05-27T16:01:00Z</cp:lastPrinted>
  <dcterms:created xsi:type="dcterms:W3CDTF">2014-05-27T16:01:00Z</dcterms:created>
  <dcterms:modified xsi:type="dcterms:W3CDTF">2023-10-21T18:00:00Z</dcterms:modified>
</cp:coreProperties>
</file>