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47D4" w14:textId="77777777" w:rsidR="003E79D2" w:rsidRPr="00A35BBF" w:rsidRDefault="003E79D2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3E79D2" w14:paraId="432DBEE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3F96F3F" w14:textId="77777777" w:rsidR="003E79D2" w:rsidRDefault="003E79D2">
            <w:pPr>
              <w:pStyle w:val="Heading3"/>
            </w:pPr>
            <w:r>
              <w:t>ASHRAE Technical FAQ</w:t>
            </w:r>
          </w:p>
        </w:tc>
      </w:tr>
      <w:tr w:rsidR="003E79D2" w14:paraId="151BF1B2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3E79D2" w14:paraId="65BCB337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D02211A" w14:textId="77777777" w:rsidR="003E79D2" w:rsidRDefault="002342A1">
                  <w:r>
                    <w:pict w14:anchorId="57AD7F83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3E79D2" w14:paraId="530F087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3343DD8" w14:textId="77777777" w:rsidR="003E79D2" w:rsidRPr="004D7632" w:rsidRDefault="003E79D2">
                  <w:r w:rsidRPr="004D7632"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6353A6B" w14:textId="77777777" w:rsidR="003E79D2" w:rsidRPr="004D7632" w:rsidRDefault="003E79D2">
                  <w:r w:rsidRPr="004D7632">
                    <w:t>2</w:t>
                  </w:r>
                  <w:r>
                    <w:t>9</w:t>
                  </w:r>
                </w:p>
              </w:tc>
            </w:tr>
            <w:tr w:rsidR="003E79D2" w14:paraId="71A440E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2C599A7" w14:textId="77777777" w:rsidR="003E79D2" w:rsidRPr="00E7272F" w:rsidRDefault="002342A1">
                  <w:r>
                    <w:pict w14:anchorId="36019B6F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3E79D2" w14:paraId="748880F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55AE8B0" w14:textId="77777777" w:rsidR="003E79D2" w:rsidRPr="00E7272F" w:rsidRDefault="003E79D2">
                  <w:r w:rsidRPr="00E7272F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B9D81C7" w14:textId="77777777" w:rsidR="003E79D2" w:rsidRPr="00E7272F" w:rsidRDefault="003E79D2">
                  <w:r w:rsidRPr="00E7272F">
                    <w:rPr>
                      <w:color w:val="000000"/>
                    </w:rPr>
                    <w:t>How can I tell if my building is a "sick building"?</w:t>
                  </w:r>
                </w:p>
              </w:tc>
            </w:tr>
            <w:tr w:rsidR="003E79D2" w14:paraId="28A93C9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3C85D1F" w14:textId="77777777" w:rsidR="003E79D2" w:rsidRPr="00E7272F" w:rsidRDefault="002342A1">
                  <w:r>
                    <w:pict w14:anchorId="76B4B8CE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3E79D2" w14:paraId="720BF2F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F853308" w14:textId="77777777" w:rsidR="003E79D2" w:rsidRPr="00E7272F" w:rsidRDefault="003E79D2">
                  <w:r w:rsidRPr="00E7272F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403A820" w14:textId="77777777" w:rsidR="00E747D6" w:rsidRDefault="00E747D6">
                  <w:pPr>
                    <w:rPr>
                      <w:color w:val="000000"/>
                    </w:rPr>
                  </w:pPr>
                  <w:r w:rsidRPr="00E7272F">
                    <w:rPr>
                      <w:color w:val="000000"/>
                    </w:rPr>
                    <w:t xml:space="preserve">If </w:t>
                  </w:r>
                  <w:r>
                    <w:rPr>
                      <w:color w:val="000000"/>
                    </w:rPr>
                    <w:t xml:space="preserve">a significant number of </w:t>
                  </w:r>
                  <w:r w:rsidRPr="00E7272F">
                    <w:rPr>
                      <w:color w:val="000000"/>
                    </w:rPr>
                    <w:t xml:space="preserve">occupants complain </w:t>
                  </w:r>
                  <w:r>
                    <w:rPr>
                      <w:color w:val="000000"/>
                    </w:rPr>
                    <w:t>of eye, nose, and throat irritation, headaches, dizziness, or difficulty concentrating</w:t>
                  </w:r>
                  <w:r w:rsidRPr="00E7272F">
                    <w:rPr>
                      <w:color w:val="000000"/>
                    </w:rPr>
                    <w:t xml:space="preserve">, but recover soon after leaving the building, these are strong indicators of </w:t>
                  </w:r>
                  <w:r>
                    <w:rPr>
                      <w:color w:val="000000"/>
                    </w:rPr>
                    <w:t>poor air quality.  Buildings with consistently high levels of complaints are commonly called “</w:t>
                  </w:r>
                  <w:r w:rsidRPr="00E7272F">
                    <w:rPr>
                      <w:color w:val="000000"/>
                    </w:rPr>
                    <w:t>sick buildings.</w:t>
                  </w:r>
                  <w:r>
                    <w:rPr>
                      <w:color w:val="000000"/>
                    </w:rPr>
                    <w:t>”</w:t>
                  </w:r>
                  <w:r w:rsidRPr="00E7272F">
                    <w:rPr>
                      <w:color w:val="000000"/>
                    </w:rPr>
                    <w:br/>
                  </w:r>
                  <w:r w:rsidRPr="00E7272F">
                    <w:rPr>
                      <w:color w:val="000000"/>
                    </w:rPr>
                    <w:br/>
                    <w:t xml:space="preserve">A Health Hazard Evaluation (HHE) by </w:t>
                  </w:r>
                  <w:hyperlink r:id="rId4" w:history="1">
                    <w:r w:rsidRPr="008C1198">
                      <w:rPr>
                        <w:rStyle w:val="Hyperlink"/>
                      </w:rPr>
                      <w:t>NIOSH</w:t>
                    </w:r>
                  </w:hyperlink>
                  <w:r>
                    <w:t xml:space="preserve"> </w:t>
                  </w:r>
                  <w:r w:rsidRPr="00E7272F">
                    <w:rPr>
                      <w:color w:val="000000"/>
                    </w:rPr>
                    <w:t xml:space="preserve">or a similar evaluation by </w:t>
                  </w:r>
                  <w:r>
                    <w:rPr>
                      <w:color w:val="000000"/>
                    </w:rPr>
                    <w:t>a</w:t>
                  </w:r>
                  <w:r w:rsidRPr="00E7272F">
                    <w:rPr>
                      <w:color w:val="000000"/>
                    </w:rPr>
                    <w:t xml:space="preserve"> qualified IAQ test organization will indicate if the building </w:t>
                  </w:r>
                  <w:r>
                    <w:rPr>
                      <w:color w:val="000000"/>
                    </w:rPr>
                    <w:t>has indoor air quality problems</w:t>
                  </w:r>
                  <w:r w:rsidRPr="00E7272F">
                    <w:rPr>
                      <w:color w:val="000000"/>
                    </w:rPr>
                    <w:t>.</w:t>
                  </w:r>
                </w:p>
                <w:p w14:paraId="0B55B4F6" w14:textId="233D30CB" w:rsidR="003E79D2" w:rsidRPr="00E7272F" w:rsidRDefault="003E79D2" w:rsidP="006B695F">
                  <w:r w:rsidRPr="00E7272F">
                    <w:rPr>
                      <w:color w:val="000000"/>
                    </w:rPr>
                    <w:br/>
                  </w:r>
                  <w:r w:rsidR="00E747D6">
                    <w:rPr>
                      <w:color w:val="000000"/>
                    </w:rPr>
                    <w:t xml:space="preserve">Adequate ventilation is often a solution to indoor air quality problems. </w:t>
                  </w:r>
                  <w:hyperlink r:id="rId5" w:history="1">
                    <w:r w:rsidR="002342A1">
                      <w:rPr>
                        <w:rStyle w:val="Hyperlink"/>
                      </w:rPr>
                      <w:t>ASHRAE Standard 62.1-2022</w:t>
                    </w:r>
                  </w:hyperlink>
                  <w:r w:rsidR="002342A1">
                    <w:t xml:space="preserve"> </w:t>
                  </w:r>
                  <w:r w:rsidRPr="00E7272F">
                    <w:rPr>
                      <w:color w:val="000000"/>
                    </w:rPr>
                    <w:t>- "Ventilation for Acceptable Indoor Air Quality" specif</w:t>
                  </w:r>
                  <w:r w:rsidR="00E747D6">
                    <w:rPr>
                      <w:color w:val="000000"/>
                    </w:rPr>
                    <w:t>ies</w:t>
                  </w:r>
                  <w:r w:rsidRPr="00E7272F">
                    <w:rPr>
                      <w:color w:val="000000"/>
                    </w:rPr>
                    <w:t xml:space="preserve"> outside air ventilation rates for acceptable indoor air quality.</w:t>
                  </w:r>
                  <w:r w:rsidRPr="00E7272F">
                    <w:rPr>
                      <w:color w:val="000000"/>
                    </w:rPr>
                    <w:br/>
                  </w:r>
                  <w:r w:rsidRPr="00E7272F">
                    <w:rPr>
                      <w:color w:val="000000"/>
                    </w:rPr>
                    <w:br/>
                    <w:t xml:space="preserve">Copies of the standard, the latest addenda, and other publications may be purchased on-line at our website, </w:t>
                  </w:r>
                  <w:hyperlink r:id="rId6" w:history="1">
                    <w:r w:rsidR="0082510E" w:rsidRPr="008351DA">
                      <w:rPr>
                        <w:rStyle w:val="Hyperlink"/>
                      </w:rPr>
                      <w:t>www.ashrae.org/</w:t>
                    </w:r>
                  </w:hyperlink>
                  <w:r w:rsidRPr="00E7272F">
                    <w:rPr>
                      <w:color w:val="000000"/>
                    </w:rPr>
                    <w:t xml:space="preserve"> or by calling 1-800-527-4723 in the USA and Canada or 1-404-636-8400 worldwide. Addenda to the standards may be downloaded for free.</w:t>
                  </w:r>
                  <w:r w:rsidRPr="00E7272F">
                    <w:rPr>
                      <w:color w:val="000000"/>
                    </w:rPr>
                    <w:br/>
                  </w:r>
                  <w:r w:rsidRPr="00E7272F">
                    <w:rPr>
                      <w:color w:val="000000"/>
                    </w:rPr>
                    <w:br/>
                    <w:t xml:space="preserve">A Health Hazard Evaluation (HHE) by </w:t>
                  </w:r>
                  <w:hyperlink r:id="rId7" w:history="1">
                    <w:r w:rsidR="00422D24" w:rsidRPr="008C1198">
                      <w:rPr>
                        <w:rStyle w:val="Hyperlink"/>
                      </w:rPr>
                      <w:t>NIOSH</w:t>
                    </w:r>
                  </w:hyperlink>
                  <w:r w:rsidR="00422D24">
                    <w:t xml:space="preserve"> </w:t>
                  </w:r>
                  <w:r w:rsidRPr="00E7272F">
                    <w:rPr>
                      <w:color w:val="000000"/>
                    </w:rPr>
                    <w:t>or a similar evaluation by an independent qualified IAQ test organization.</w:t>
                  </w:r>
                  <w:r w:rsidRPr="00E7272F">
                    <w:rPr>
                      <w:color w:val="000000"/>
                    </w:rPr>
                    <w:br/>
                  </w:r>
                  <w:r w:rsidRPr="00E7272F">
                    <w:rPr>
                      <w:color w:val="000000"/>
                    </w:rPr>
                    <w:br/>
                  </w:r>
                  <w:hyperlink r:id="rId8" w:history="1">
                    <w:r w:rsidR="00422D24" w:rsidRPr="008C1198">
                      <w:rPr>
                        <w:rStyle w:val="Hyperlink"/>
                      </w:rPr>
                      <w:t>NIOSH</w:t>
                    </w:r>
                  </w:hyperlink>
                  <w:r w:rsidRPr="00E7272F">
                    <w:rPr>
                      <w:color w:val="000000"/>
                    </w:rPr>
                    <w:t xml:space="preserve"> - National </w:t>
                  </w:r>
                  <w:smartTag w:uri="urn:schemas-microsoft-com:office:smarttags" w:element="place">
                    <w:smartTag w:uri="urn:schemas-microsoft-com:office:smarttags" w:element="PlaceType">
                      <w:r w:rsidRPr="00E7272F">
                        <w:rPr>
                          <w:color w:val="000000"/>
                        </w:rPr>
                        <w:t>Institute</w:t>
                      </w:r>
                    </w:smartTag>
                    <w:r w:rsidRPr="00E7272F">
                      <w:rPr>
                        <w:color w:val="000000"/>
                      </w:rPr>
                      <w:t xml:space="preserve"> of </w:t>
                    </w:r>
                    <w:smartTag w:uri="urn:schemas-microsoft-com:office:smarttags" w:element="PlaceName">
                      <w:r w:rsidRPr="001B2EA7">
                        <w:rPr>
                          <w:color w:val="000000"/>
                        </w:rPr>
                        <w:t>Occupational Safety</w:t>
                      </w:r>
                    </w:smartTag>
                  </w:smartTag>
                  <w:r w:rsidRPr="001B2EA7">
                    <w:rPr>
                      <w:color w:val="000000"/>
                    </w:rPr>
                    <w:t xml:space="preserve"> and Health, (</w:t>
                  </w:r>
                  <w:hyperlink r:id="rId9" w:history="1">
                    <w:r w:rsidRPr="001B2EA7">
                      <w:rPr>
                        <w:rStyle w:val="Hyperlink"/>
                      </w:rPr>
                      <w:t>www.cdc.gov/niosh/homepage.html</w:t>
                    </w:r>
                  </w:hyperlink>
                  <w:r w:rsidRPr="001B2EA7">
                    <w:rPr>
                      <w:color w:val="000000"/>
                    </w:rPr>
                    <w:t>)</w:t>
                  </w:r>
                </w:p>
              </w:tc>
            </w:tr>
            <w:tr w:rsidR="003E79D2" w14:paraId="5542EB46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F74F760" w14:textId="77777777" w:rsidR="003E79D2" w:rsidRPr="00E7272F" w:rsidRDefault="002342A1">
                  <w:r>
                    <w:pict w14:anchorId="0E229B9E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3E79D2" w14:paraId="5BBF9BD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348CEA0" w14:textId="77777777" w:rsidR="003E79D2" w:rsidRPr="00E7272F" w:rsidRDefault="003E79D2">
                  <w:r w:rsidRPr="00E7272F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B2B7CB6" w14:textId="0C5D9B22" w:rsidR="001B2EA7" w:rsidRDefault="002342A1" w:rsidP="001B2EA7">
                  <w:pPr>
                    <w:rPr>
                      <w:color w:val="000000"/>
                    </w:rPr>
                  </w:pPr>
                  <w:hyperlink r:id="rId10" w:history="1">
                    <w:r>
                      <w:rPr>
                        <w:rStyle w:val="Hyperlink"/>
                      </w:rPr>
                      <w:t>ASHRAE Standard 62.1-2022</w:t>
                    </w:r>
                  </w:hyperlink>
                  <w:r w:rsidR="001B2EA7" w:rsidRPr="00CF5E48">
                    <w:rPr>
                      <w:color w:val="000000"/>
                    </w:rPr>
                    <w:t xml:space="preserve">, Ventilation for Acceptable Indoor Air Quality, plus </w:t>
                  </w:r>
                  <w:hyperlink r:id="rId11" w:history="1">
                    <w:r w:rsidR="001B2EA7" w:rsidRPr="00CF5E48">
                      <w:rPr>
                        <w:rStyle w:val="Hyperlink"/>
                      </w:rPr>
                      <w:t>ASHRAE BOD approved addenda</w:t>
                    </w:r>
                  </w:hyperlink>
                </w:p>
                <w:p w14:paraId="6E5C0884" w14:textId="77777777" w:rsidR="003E79D2" w:rsidRPr="00E7272F" w:rsidRDefault="003E79D2" w:rsidP="001C55FA">
                  <w:r w:rsidRPr="00E7272F">
                    <w:rPr>
                      <w:color w:val="000000"/>
                    </w:rPr>
                    <w:br/>
                  </w:r>
                  <w:r w:rsidRPr="00311F78">
                    <w:rPr>
                      <w:color w:val="000000"/>
                    </w:rPr>
                    <w:t>“</w:t>
                  </w:r>
                  <w:hyperlink r:id="rId12" w:history="1">
                    <w:r w:rsidR="00E5165E" w:rsidRPr="00311F78">
                      <w:rPr>
                        <w:rStyle w:val="Hyperlink"/>
                      </w:rPr>
                      <w:t>What we know, and don't know about sick building syndrome</w:t>
                    </w:r>
                  </w:hyperlink>
                  <w:r w:rsidRPr="00311F78">
                    <w:rPr>
                      <w:color w:val="000000"/>
                    </w:rPr>
                    <w:t>”, J. Sundell. ASHRAE Journal, vol.38, no.6. 1996.</w:t>
                  </w:r>
                </w:p>
              </w:tc>
            </w:tr>
            <w:tr w:rsidR="003E79D2" w14:paraId="5DB14BE9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0CAC340" w14:textId="77777777" w:rsidR="003E79D2" w:rsidRPr="00E7272F" w:rsidRDefault="002342A1">
                  <w:r>
                    <w:pict w14:anchorId="60B8BBB6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3E79D2" w14:paraId="521E9664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5BA056E" w14:textId="77777777" w:rsidR="003E79D2" w:rsidRPr="00E7272F" w:rsidRDefault="003E79D2">
                  <w:r w:rsidRPr="00E7272F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C6F3A5A" w14:textId="77777777" w:rsidR="003E79D2" w:rsidRPr="00E7272F" w:rsidRDefault="003E79D2">
                  <w:r w:rsidRPr="00E7272F">
                    <w:rPr>
                      <w:color w:val="000000"/>
                    </w:rPr>
                    <w:t xml:space="preserve">Building Related </w:t>
                  </w:r>
                  <w:smartTag w:uri="urn:schemas-microsoft-com:office:smarttags" w:element="place">
                    <w:smartTag w:uri="urn:schemas-microsoft-com:office:smarttags" w:element="PlaceName">
                      <w:r w:rsidRPr="00E7272F">
                        <w:rPr>
                          <w:color w:val="000000"/>
                        </w:rPr>
                        <w:t>Illness</w:t>
                      </w:r>
                    </w:smartTag>
                    <w:r w:rsidRPr="00E7272F">
                      <w:rPr>
                        <w:color w:val="000000"/>
                      </w:rPr>
                      <w:br/>
                    </w:r>
                    <w:smartTag w:uri="urn:schemas-microsoft-com:office:smarttags" w:element="PlaceName">
                      <w:r w:rsidRPr="00E7272F">
                        <w:rPr>
                          <w:color w:val="000000"/>
                        </w:rPr>
                        <w:t>Sick</w:t>
                      </w:r>
                    </w:smartTag>
                    <w:r w:rsidRPr="00E7272F">
                      <w:rPr>
                        <w:color w:val="000000"/>
                      </w:rPr>
                      <w:t xml:space="preserve"> </w:t>
                    </w:r>
                    <w:smartTag w:uri="urn:schemas-microsoft-com:office:smarttags" w:element="PlaceType">
                      <w:r w:rsidRPr="00E7272F">
                        <w:rPr>
                          <w:color w:val="000000"/>
                        </w:rPr>
                        <w:t>Building</w:t>
                      </w:r>
                    </w:smartTag>
                  </w:smartTag>
                </w:p>
              </w:tc>
            </w:tr>
            <w:tr w:rsidR="003E79D2" w14:paraId="0E70CA66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A7C525E" w14:textId="77777777" w:rsidR="003E79D2" w:rsidRDefault="002342A1">
                  <w:r>
                    <w:pict w14:anchorId="2A06219D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3E79D2" w14:paraId="43C15B6D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3E79D2" w14:paraId="6D81CF89" w14:textId="77777777" w:rsidTr="00224C1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811746A" w14:textId="77777777" w:rsidR="003E79D2" w:rsidRDefault="003E79D2"/>
                    </w:tc>
                    <w:tc>
                      <w:tcPr>
                        <w:tcW w:w="3600" w:type="dxa"/>
                      </w:tcPr>
                      <w:p w14:paraId="70ABB350" w14:textId="77777777" w:rsidR="003E79D2" w:rsidRDefault="003E79D2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60AF5BC" w14:textId="77777777" w:rsidR="003E79D2" w:rsidRDefault="003E79D2">
                        <w:r>
                          <w:t>Refer to Organization</w:t>
                        </w:r>
                      </w:p>
                    </w:tc>
                  </w:tr>
                  <w:tr w:rsidR="003E79D2" w14:paraId="600AFB7A" w14:textId="77777777" w:rsidTr="00224C1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803BB59" w14:textId="77777777" w:rsidR="003E79D2" w:rsidRDefault="003E79D2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237137C" w14:textId="77777777" w:rsidR="003E79D2" w:rsidRDefault="002342A1">
                        <w:hyperlink r:id="rId13" w:history="1">
                          <w:r w:rsidR="006975D9">
                            <w:rPr>
                              <w:rStyle w:val="Hyperlink"/>
                            </w:rPr>
                            <w:t>TC 4.3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5F340D6" w14:textId="77777777" w:rsidR="003E79D2" w:rsidRDefault="002342A1">
                        <w:hyperlink r:id="rId14" w:history="1">
                          <w:r w:rsidR="00422D24" w:rsidRPr="008C1198">
                            <w:rPr>
                              <w:rStyle w:val="Hyperlink"/>
                            </w:rPr>
                            <w:t>NIOSH</w:t>
                          </w:r>
                        </w:hyperlink>
                      </w:p>
                    </w:tc>
                  </w:tr>
                  <w:tr w:rsidR="003E79D2" w14:paraId="1DBFBB73" w14:textId="77777777" w:rsidTr="00224C1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05E57D5" w14:textId="77777777" w:rsidR="003E79D2" w:rsidRDefault="003E79D2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E5C380E" w14:textId="77777777" w:rsidR="003E79D2" w:rsidRDefault="003E79D2">
                        <w:r>
                          <w:t>SSPC 62.1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2DF5B56" w14:textId="77777777" w:rsidR="003E79D2" w:rsidRDefault="003E79D2"/>
                    </w:tc>
                  </w:tr>
                  <w:tr w:rsidR="003E79D2" w14:paraId="5AAB9AED" w14:textId="77777777" w:rsidTr="00224C1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F86F002" w14:textId="77777777" w:rsidR="003E79D2" w:rsidRDefault="003E79D2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6B276A2" w14:textId="77777777" w:rsidR="003E79D2" w:rsidRDefault="002342A1">
                        <w:hyperlink r:id="rId15" w:history="1">
                          <w:r w:rsidR="006975D9">
                            <w:rPr>
                              <w:rStyle w:val="Hyperlink"/>
                            </w:rPr>
                            <w:t>EHC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77E1300" w14:textId="77777777" w:rsidR="003E79D2" w:rsidRDefault="003E79D2"/>
                    </w:tc>
                  </w:tr>
                  <w:tr w:rsidR="003E79D2" w14:paraId="55998EAA" w14:textId="77777777" w:rsidTr="00224C1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4634B38" w14:textId="77777777" w:rsidR="003E79D2" w:rsidRDefault="003E79D2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0496401" w14:textId="77777777" w:rsidR="003E79D2" w:rsidRDefault="003E79D2"/>
                    </w:tc>
                    <w:tc>
                      <w:tcPr>
                        <w:tcW w:w="2520" w:type="dxa"/>
                      </w:tcPr>
                      <w:p w14:paraId="4A8E7133" w14:textId="77777777" w:rsidR="003E79D2" w:rsidRDefault="003E79D2"/>
                    </w:tc>
                  </w:tr>
                  <w:tr w:rsidR="003E79D2" w14:paraId="5829CC8C" w14:textId="77777777" w:rsidTr="00224C1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F02E120" w14:textId="77777777" w:rsidR="003E79D2" w:rsidRDefault="003E79D2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C8392DF" w14:textId="77777777" w:rsidR="003E79D2" w:rsidRDefault="003E79D2"/>
                    </w:tc>
                    <w:tc>
                      <w:tcPr>
                        <w:tcW w:w="2520" w:type="dxa"/>
                      </w:tcPr>
                      <w:p w14:paraId="4EA62D6F" w14:textId="77777777" w:rsidR="003E79D2" w:rsidRDefault="003E79D2"/>
                    </w:tc>
                  </w:tr>
                </w:tbl>
                <w:p w14:paraId="5698ECCD" w14:textId="77777777" w:rsidR="003E79D2" w:rsidRDefault="003E79D2"/>
              </w:tc>
            </w:tr>
            <w:tr w:rsidR="003E79D2" w14:paraId="1F3E7C8E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BDD2E1A" w14:textId="77777777" w:rsidR="003E79D2" w:rsidRDefault="003E79D2"/>
              </w:tc>
            </w:tr>
          </w:tbl>
          <w:p w14:paraId="3B3D16A6" w14:textId="77777777" w:rsidR="003E79D2" w:rsidRDefault="003E79D2"/>
        </w:tc>
        <w:tc>
          <w:tcPr>
            <w:tcW w:w="0" w:type="auto"/>
            <w:vAlign w:val="center"/>
          </w:tcPr>
          <w:p w14:paraId="319AA796" w14:textId="77777777" w:rsidR="003E79D2" w:rsidRDefault="003E79D2">
            <w:pPr>
              <w:rPr>
                <w:sz w:val="20"/>
                <w:szCs w:val="20"/>
              </w:rPr>
            </w:pPr>
          </w:p>
        </w:tc>
      </w:tr>
    </w:tbl>
    <w:p w14:paraId="6C140916" w14:textId="77777777" w:rsidR="003E79D2" w:rsidRPr="005E4570" w:rsidRDefault="003E79D2">
      <w:pPr>
        <w:rPr>
          <w:rFonts w:ascii="Arial" w:hAnsi="Arial" w:cs="Arial"/>
        </w:rPr>
      </w:pPr>
    </w:p>
    <w:sectPr w:rsidR="003E79D2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51CB"/>
    <w:rsid w:val="000142F9"/>
    <w:rsid w:val="00026B8D"/>
    <w:rsid w:val="000405EC"/>
    <w:rsid w:val="00043D6E"/>
    <w:rsid w:val="00053B42"/>
    <w:rsid w:val="0005555B"/>
    <w:rsid w:val="00063BCF"/>
    <w:rsid w:val="000966B6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97B4B"/>
    <w:rsid w:val="001B2EA7"/>
    <w:rsid w:val="001B7130"/>
    <w:rsid w:val="001C4A0D"/>
    <w:rsid w:val="001C55FA"/>
    <w:rsid w:val="001F0C26"/>
    <w:rsid w:val="002051F5"/>
    <w:rsid w:val="0020535B"/>
    <w:rsid w:val="002173A6"/>
    <w:rsid w:val="00224C15"/>
    <w:rsid w:val="00232AED"/>
    <w:rsid w:val="002342A1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2D63"/>
    <w:rsid w:val="002E45EC"/>
    <w:rsid w:val="002F4E1B"/>
    <w:rsid w:val="002F6C9C"/>
    <w:rsid w:val="003117BC"/>
    <w:rsid w:val="00311F78"/>
    <w:rsid w:val="003121B2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E79D2"/>
    <w:rsid w:val="0040222F"/>
    <w:rsid w:val="004138CF"/>
    <w:rsid w:val="00422D24"/>
    <w:rsid w:val="004265F2"/>
    <w:rsid w:val="004275F8"/>
    <w:rsid w:val="00437DC1"/>
    <w:rsid w:val="004424C2"/>
    <w:rsid w:val="00445223"/>
    <w:rsid w:val="004466ED"/>
    <w:rsid w:val="0044728F"/>
    <w:rsid w:val="004543E1"/>
    <w:rsid w:val="00454431"/>
    <w:rsid w:val="00460FE3"/>
    <w:rsid w:val="00476626"/>
    <w:rsid w:val="004816F2"/>
    <w:rsid w:val="004A37B0"/>
    <w:rsid w:val="004A4C42"/>
    <w:rsid w:val="004F534E"/>
    <w:rsid w:val="00526CA2"/>
    <w:rsid w:val="005373C0"/>
    <w:rsid w:val="00554020"/>
    <w:rsid w:val="00555DE5"/>
    <w:rsid w:val="00557B21"/>
    <w:rsid w:val="005614FF"/>
    <w:rsid w:val="00571372"/>
    <w:rsid w:val="00573B26"/>
    <w:rsid w:val="005750B3"/>
    <w:rsid w:val="00575DE3"/>
    <w:rsid w:val="005823A8"/>
    <w:rsid w:val="005A2C76"/>
    <w:rsid w:val="005C2DAE"/>
    <w:rsid w:val="005C3B4D"/>
    <w:rsid w:val="005D5A07"/>
    <w:rsid w:val="005E4570"/>
    <w:rsid w:val="005F09FF"/>
    <w:rsid w:val="005F5381"/>
    <w:rsid w:val="005F6297"/>
    <w:rsid w:val="006016F2"/>
    <w:rsid w:val="00634806"/>
    <w:rsid w:val="00650ACA"/>
    <w:rsid w:val="006634EA"/>
    <w:rsid w:val="006651CB"/>
    <w:rsid w:val="006975D9"/>
    <w:rsid w:val="006A394D"/>
    <w:rsid w:val="006B4FBD"/>
    <w:rsid w:val="006B6767"/>
    <w:rsid w:val="006B695F"/>
    <w:rsid w:val="006C4140"/>
    <w:rsid w:val="006E12C9"/>
    <w:rsid w:val="006E623D"/>
    <w:rsid w:val="006F2C88"/>
    <w:rsid w:val="006F48B2"/>
    <w:rsid w:val="007017C3"/>
    <w:rsid w:val="00706381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95200"/>
    <w:rsid w:val="007B0644"/>
    <w:rsid w:val="007B13FA"/>
    <w:rsid w:val="007B22F4"/>
    <w:rsid w:val="007B4575"/>
    <w:rsid w:val="007D4461"/>
    <w:rsid w:val="007D767C"/>
    <w:rsid w:val="00805C24"/>
    <w:rsid w:val="00813A3D"/>
    <w:rsid w:val="0082510E"/>
    <w:rsid w:val="00830AF5"/>
    <w:rsid w:val="008428EE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1198"/>
    <w:rsid w:val="008C5134"/>
    <w:rsid w:val="008D2B09"/>
    <w:rsid w:val="008D5447"/>
    <w:rsid w:val="008E7528"/>
    <w:rsid w:val="00905825"/>
    <w:rsid w:val="00905B08"/>
    <w:rsid w:val="00931EEA"/>
    <w:rsid w:val="00941A92"/>
    <w:rsid w:val="00946D49"/>
    <w:rsid w:val="009515BA"/>
    <w:rsid w:val="00954341"/>
    <w:rsid w:val="00961F04"/>
    <w:rsid w:val="00985F85"/>
    <w:rsid w:val="009A0BC4"/>
    <w:rsid w:val="009B6C9C"/>
    <w:rsid w:val="009C1218"/>
    <w:rsid w:val="009D09C4"/>
    <w:rsid w:val="009F0A2B"/>
    <w:rsid w:val="009F747F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859D3"/>
    <w:rsid w:val="00AF1F33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81649"/>
    <w:rsid w:val="00CA1881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165E"/>
    <w:rsid w:val="00E54769"/>
    <w:rsid w:val="00E57ACB"/>
    <w:rsid w:val="00E62952"/>
    <w:rsid w:val="00E747D6"/>
    <w:rsid w:val="00E74BD2"/>
    <w:rsid w:val="00E83E50"/>
    <w:rsid w:val="00E86038"/>
    <w:rsid w:val="00E96378"/>
    <w:rsid w:val="00EA3DD3"/>
    <w:rsid w:val="00EB72AB"/>
    <w:rsid w:val="00EB7677"/>
    <w:rsid w:val="00EF33A2"/>
    <w:rsid w:val="00F00D4E"/>
    <w:rsid w:val="00F0454E"/>
    <w:rsid w:val="00F06E88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2"/>
    <o:shapelayout v:ext="edit">
      <o:idmap v:ext="edit" data="1"/>
    </o:shapelayout>
  </w:shapeDefaults>
  <w:decimalSymbol w:val="."/>
  <w:listSeparator w:val=","/>
  <w14:docId w14:val="01E92B04"/>
  <w15:chartTrackingRefBased/>
  <w15:docId w15:val="{CABD7038-BA59-4B46-BD6B-B8B88F2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9D2"/>
    <w:rPr>
      <w:color w:val="0000FF"/>
      <w:u w:val="single"/>
    </w:rPr>
  </w:style>
  <w:style w:type="character" w:styleId="FollowedHyperlink">
    <w:name w:val="FollowedHyperlink"/>
    <w:basedOn w:val="DefaultParagraphFont"/>
    <w:rsid w:val="003E79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homepage.html" TargetMode="External"/><Relationship Id="rId13" Type="http://schemas.openxmlformats.org/officeDocument/2006/relationships/hyperlink" Target="http://tc0403.ashraetc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dc.gov/niosh/homepage.html" TargetMode="External"/><Relationship Id="rId12" Type="http://schemas.openxmlformats.org/officeDocument/2006/relationships/hyperlink" Target="http://www.ashrae.org/resources--publications/periodicals/ashrae-journ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shrae.org/" TargetMode="External"/><Relationship Id="rId11" Type="http://schemas.openxmlformats.org/officeDocument/2006/relationships/hyperlink" Target="http://www.ashrae.org/standards-research--technology/standards-addenda" TargetMode="External"/><Relationship Id="rId5" Type="http://schemas.openxmlformats.org/officeDocument/2006/relationships/hyperlink" Target="https://www.techstreet.com/ashrae/standards/ashrae-62-1-2022?product_id=2501063" TargetMode="External"/><Relationship Id="rId15" Type="http://schemas.openxmlformats.org/officeDocument/2006/relationships/hyperlink" Target="https://www.ashrae.org/communities/committees/standing-committees/environmental-health-committee-ehc" TargetMode="External"/><Relationship Id="rId10" Type="http://schemas.openxmlformats.org/officeDocument/2006/relationships/hyperlink" Target="https://www.techstreet.com/ashrae/standards/ashrae-62-1-2022?product_id=2501063" TargetMode="External"/><Relationship Id="rId4" Type="http://schemas.openxmlformats.org/officeDocument/2006/relationships/hyperlink" Target="http://www.cdc.gov/niosh/homepage.html" TargetMode="External"/><Relationship Id="rId9" Type="http://schemas.openxmlformats.org/officeDocument/2006/relationships/hyperlink" Target="http://www.cdc.gov/niosh/homepage.html" TargetMode="External"/><Relationship Id="rId14" Type="http://schemas.openxmlformats.org/officeDocument/2006/relationships/hyperlink" Target="http://www.cdc.gov/niosh/homep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2531</CharactersWithSpaces>
  <SharedDoc>false</SharedDoc>
  <HLinks>
    <vt:vector size="72" baseType="variant">
      <vt:variant>
        <vt:i4>7602291</vt:i4>
      </vt:variant>
      <vt:variant>
        <vt:i4>33</vt:i4>
      </vt:variant>
      <vt:variant>
        <vt:i4>0</vt:i4>
      </vt:variant>
      <vt:variant>
        <vt:i4>5</vt:i4>
      </vt:variant>
      <vt:variant>
        <vt:lpwstr>http://www.ashrae.org/society-groups/committees/environmental-health-committee-ehc</vt:lpwstr>
      </vt:variant>
      <vt:variant>
        <vt:lpwstr/>
      </vt:variant>
      <vt:variant>
        <vt:i4>7798884</vt:i4>
      </vt:variant>
      <vt:variant>
        <vt:i4>30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3211326</vt:i4>
      </vt:variant>
      <vt:variant>
        <vt:i4>27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196680</vt:i4>
      </vt:variant>
      <vt:variant>
        <vt:i4>24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3932271</vt:i4>
      </vt:variant>
      <vt:variant>
        <vt:i4>21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7798884</vt:i4>
      </vt:variant>
      <vt:variant>
        <vt:i4>15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7798884</vt:i4>
      </vt:variant>
      <vt:variant>
        <vt:i4>12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7798884</vt:i4>
      </vt:variant>
      <vt:variant>
        <vt:i4>9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2162765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7798884</vt:i4>
      </vt:variant>
      <vt:variant>
        <vt:i4>0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6</cp:revision>
  <cp:lastPrinted>2005-12-21T15:18:00Z</cp:lastPrinted>
  <dcterms:created xsi:type="dcterms:W3CDTF">2014-05-27T20:23:00Z</dcterms:created>
  <dcterms:modified xsi:type="dcterms:W3CDTF">2023-10-21T15:26:00Z</dcterms:modified>
</cp:coreProperties>
</file>