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CellSpacing w:w="0" w:type="dxa"/>
        <w:tblCellMar>
          <w:left w:w="0" w:type="dxa"/>
          <w:right w:w="0" w:type="dxa"/>
        </w:tblCellMar>
        <w:tblLook w:val="0000" w:firstRow="0" w:lastRow="0" w:firstColumn="0" w:lastColumn="0" w:noHBand="0" w:noVBand="0"/>
      </w:tblPr>
      <w:tblGrid>
        <w:gridCol w:w="10794"/>
        <w:gridCol w:w="6"/>
      </w:tblGrid>
      <w:tr w:rsidR="003E79D2" w:rsidRPr="00E26C8A" w14:paraId="585DBC70" w14:textId="77777777">
        <w:trPr>
          <w:tblCellSpacing w:w="0" w:type="dxa"/>
        </w:trPr>
        <w:tc>
          <w:tcPr>
            <w:tcW w:w="0" w:type="auto"/>
            <w:gridSpan w:val="2"/>
            <w:vAlign w:val="center"/>
          </w:tcPr>
          <w:p w14:paraId="7381DF3A" w14:textId="77777777" w:rsidR="003E79D2" w:rsidRPr="00E26C8A" w:rsidRDefault="003E79D2">
            <w:pPr>
              <w:pStyle w:val="Heading3"/>
            </w:pPr>
            <w:r w:rsidRPr="00E26C8A">
              <w:t>ASHRAE Technical FAQ</w:t>
            </w:r>
          </w:p>
        </w:tc>
      </w:tr>
      <w:tr w:rsidR="003E79D2" w14:paraId="5059FC76" w14:textId="77777777">
        <w:trPr>
          <w:trHeight w:val="8262"/>
          <w:tblCellSpacing w:w="0" w:type="dxa"/>
        </w:trPr>
        <w:tc>
          <w:tcPr>
            <w:tcW w:w="0" w:type="auto"/>
            <w:vAlign w:val="center"/>
          </w:tcPr>
          <w:tbl>
            <w:tblPr>
              <w:tblW w:w="10848" w:type="dxa"/>
              <w:tblCellSpacing w:w="0" w:type="dxa"/>
              <w:tblCellMar>
                <w:top w:w="75" w:type="dxa"/>
                <w:left w:w="75" w:type="dxa"/>
                <w:bottom w:w="75" w:type="dxa"/>
                <w:right w:w="75" w:type="dxa"/>
              </w:tblCellMar>
              <w:tblLook w:val="0000" w:firstRow="0" w:lastRow="0" w:firstColumn="0" w:lastColumn="0" w:noHBand="0" w:noVBand="0"/>
            </w:tblPr>
            <w:tblGrid>
              <w:gridCol w:w="1981"/>
              <w:gridCol w:w="7316"/>
              <w:gridCol w:w="807"/>
              <w:gridCol w:w="744"/>
            </w:tblGrid>
            <w:tr w:rsidR="003E79D2" w:rsidRPr="00E26C8A" w14:paraId="37B3DBEB" w14:textId="77777777" w:rsidTr="00BE77D5">
              <w:trPr>
                <w:trHeight w:val="102"/>
                <w:tblCellSpacing w:w="0" w:type="dxa"/>
              </w:trPr>
              <w:tc>
                <w:tcPr>
                  <w:tcW w:w="5000" w:type="pct"/>
                  <w:gridSpan w:val="4"/>
                  <w:vAlign w:val="center"/>
                </w:tcPr>
                <w:p w14:paraId="1F130502" w14:textId="77777777" w:rsidR="003E79D2" w:rsidRPr="00E26C8A" w:rsidRDefault="00E26C8A">
                  <w:r w:rsidRPr="00E26C8A">
                    <w:pict w14:anchorId="0A750F26">
                      <v:rect id="_x0000_i1217" style="width:0;height:1.5pt" o:hralign="center" o:hrstd="t" o:hr="t" fillcolor="#aca899" stroked="f"/>
                    </w:pict>
                  </w:r>
                </w:p>
              </w:tc>
            </w:tr>
            <w:tr w:rsidR="003E79D2" w:rsidRPr="00E26C8A" w14:paraId="1D9DBE9D" w14:textId="77777777" w:rsidTr="00BE77D5">
              <w:trPr>
                <w:gridAfter w:val="1"/>
                <w:wAfter w:w="343" w:type="pct"/>
                <w:trHeight w:val="102"/>
                <w:tblCellSpacing w:w="0" w:type="dxa"/>
              </w:trPr>
              <w:tc>
                <w:tcPr>
                  <w:tcW w:w="913" w:type="pct"/>
                  <w:vAlign w:val="center"/>
                </w:tcPr>
                <w:p w14:paraId="0A089713" w14:textId="77777777" w:rsidR="003E79D2" w:rsidRPr="00E26C8A" w:rsidRDefault="003E79D2">
                  <w:r w:rsidRPr="00E26C8A">
                    <w:t xml:space="preserve">ID </w:t>
                  </w:r>
                </w:p>
              </w:tc>
              <w:tc>
                <w:tcPr>
                  <w:tcW w:w="3744" w:type="pct"/>
                  <w:gridSpan w:val="2"/>
                  <w:vAlign w:val="center"/>
                </w:tcPr>
                <w:p w14:paraId="06985912" w14:textId="77777777" w:rsidR="003E79D2" w:rsidRPr="00E26C8A" w:rsidRDefault="003E79D2">
                  <w:r w:rsidRPr="00E26C8A">
                    <w:t>35</w:t>
                  </w:r>
                </w:p>
              </w:tc>
            </w:tr>
            <w:tr w:rsidR="003E79D2" w:rsidRPr="00E26C8A" w14:paraId="52EE31C4" w14:textId="77777777" w:rsidTr="00BE77D5">
              <w:trPr>
                <w:gridAfter w:val="1"/>
                <w:wAfter w:w="343" w:type="pct"/>
                <w:trHeight w:val="102"/>
                <w:tblCellSpacing w:w="0" w:type="dxa"/>
              </w:trPr>
              <w:tc>
                <w:tcPr>
                  <w:tcW w:w="4657" w:type="pct"/>
                  <w:gridSpan w:val="3"/>
                  <w:vAlign w:val="center"/>
                </w:tcPr>
                <w:p w14:paraId="47A653EB" w14:textId="77777777" w:rsidR="003E79D2" w:rsidRPr="00E26C8A" w:rsidRDefault="00E26C8A">
                  <w:r w:rsidRPr="00E26C8A">
                    <w:pict w14:anchorId="47D2DFA0">
                      <v:rect id="_x0000_i1218" style="width:0;height:1.5pt" o:hralign="center" o:hrstd="t" o:hr="t" fillcolor="#aca899" stroked="f"/>
                    </w:pict>
                  </w:r>
                </w:p>
              </w:tc>
            </w:tr>
            <w:tr w:rsidR="003E79D2" w:rsidRPr="00E26C8A" w14:paraId="519D9337" w14:textId="77777777" w:rsidTr="00E26C8A">
              <w:trPr>
                <w:gridAfter w:val="1"/>
                <w:wAfter w:w="343" w:type="pct"/>
                <w:trHeight w:val="102"/>
                <w:tblCellSpacing w:w="0" w:type="dxa"/>
              </w:trPr>
              <w:tc>
                <w:tcPr>
                  <w:tcW w:w="913" w:type="pct"/>
                  <w:vAlign w:val="center"/>
                </w:tcPr>
                <w:p w14:paraId="16F80C6A" w14:textId="77777777" w:rsidR="003E79D2" w:rsidRPr="00E26C8A" w:rsidRDefault="003E79D2">
                  <w:r w:rsidRPr="00E26C8A">
                    <w:t xml:space="preserve">Question </w:t>
                  </w:r>
                </w:p>
              </w:tc>
              <w:tc>
                <w:tcPr>
                  <w:tcW w:w="3744" w:type="pct"/>
                  <w:gridSpan w:val="2"/>
                  <w:shd w:val="clear" w:color="auto" w:fill="FFFFFF" w:themeFill="background1"/>
                  <w:vAlign w:val="center"/>
                </w:tcPr>
                <w:p w14:paraId="4500FAAD" w14:textId="080CF672" w:rsidR="003E79D2" w:rsidRPr="00E26C8A" w:rsidRDefault="003E79D2">
                  <w:r w:rsidRPr="00E26C8A">
                    <w:rPr>
                      <w:color w:val="000000"/>
                    </w:rPr>
                    <w:t>What is the allowable level of carbon dioxide</w:t>
                  </w:r>
                  <w:r w:rsidR="00BE77D5" w:rsidRPr="00E26C8A">
                    <w:rPr>
                      <w:color w:val="000000"/>
                    </w:rPr>
                    <w:t xml:space="preserve"> (CO2)</w:t>
                  </w:r>
                  <w:r w:rsidRPr="00E26C8A">
                    <w:rPr>
                      <w:color w:val="000000"/>
                    </w:rPr>
                    <w:t xml:space="preserve"> in an occupied space?</w:t>
                  </w:r>
                </w:p>
              </w:tc>
            </w:tr>
            <w:tr w:rsidR="003E79D2" w:rsidRPr="00E26C8A" w14:paraId="2D872D0B" w14:textId="77777777" w:rsidTr="00BE77D5">
              <w:trPr>
                <w:gridAfter w:val="1"/>
                <w:wAfter w:w="343" w:type="pct"/>
                <w:trHeight w:val="102"/>
                <w:tblCellSpacing w:w="0" w:type="dxa"/>
              </w:trPr>
              <w:tc>
                <w:tcPr>
                  <w:tcW w:w="4657" w:type="pct"/>
                  <w:gridSpan w:val="3"/>
                  <w:vAlign w:val="center"/>
                </w:tcPr>
                <w:p w14:paraId="2525930D" w14:textId="77777777" w:rsidR="003E79D2" w:rsidRPr="00E26C8A" w:rsidRDefault="00E26C8A">
                  <w:r w:rsidRPr="00E26C8A">
                    <w:pict w14:anchorId="7FD9C727">
                      <v:rect id="_x0000_i1219" style="width:0;height:1.5pt" o:hralign="center" o:hrstd="t" o:hr="t" fillcolor="#aca899" stroked="f"/>
                    </w:pict>
                  </w:r>
                </w:p>
              </w:tc>
            </w:tr>
            <w:tr w:rsidR="003E79D2" w:rsidRPr="00E26C8A" w14:paraId="2DAEC3DF" w14:textId="77777777" w:rsidTr="00BE77D5">
              <w:trPr>
                <w:gridAfter w:val="1"/>
                <w:wAfter w:w="343" w:type="pct"/>
                <w:trHeight w:val="102"/>
                <w:tblCellSpacing w:w="0" w:type="dxa"/>
              </w:trPr>
              <w:tc>
                <w:tcPr>
                  <w:tcW w:w="913" w:type="pct"/>
                  <w:vAlign w:val="center"/>
                </w:tcPr>
                <w:p w14:paraId="35D7D83D" w14:textId="77777777" w:rsidR="003E79D2" w:rsidRPr="00E26C8A" w:rsidRDefault="003E79D2">
                  <w:r w:rsidRPr="00E26C8A">
                    <w:t>Long</w:t>
                  </w:r>
                  <w:r w:rsidRPr="00E26C8A">
                    <w:br/>
                    <w:t xml:space="preserve">Answer </w:t>
                  </w:r>
                </w:p>
              </w:tc>
              <w:tc>
                <w:tcPr>
                  <w:tcW w:w="3744" w:type="pct"/>
                  <w:gridSpan w:val="2"/>
                  <w:vAlign w:val="center"/>
                </w:tcPr>
                <w:p w14:paraId="06401764" w14:textId="629492A9" w:rsidR="006161C5" w:rsidRPr="00E26C8A" w:rsidRDefault="00BE77D5" w:rsidP="009F58A8">
                  <w:pPr>
                    <w:rPr>
                      <w:color w:val="000000"/>
                    </w:rPr>
                  </w:pPr>
                  <w:r w:rsidRPr="00E26C8A">
                    <w:rPr>
                      <w:color w:val="000000"/>
                    </w:rPr>
                    <w:t xml:space="preserve">ASHRAE Standards do not include a CO2 limit in ASHRAE Standards. </w:t>
                  </w:r>
                  <w:r w:rsidR="006161C5" w:rsidRPr="00E26C8A">
                    <w:rPr>
                      <w:color w:val="000000"/>
                    </w:rPr>
                    <w:t>An ASHRAE position document,</w:t>
                  </w:r>
                  <w:r w:rsidR="006161C5" w:rsidRPr="00E26C8A">
                    <w:t xml:space="preserve"> </w:t>
                  </w:r>
                  <w:hyperlink r:id="rId5" w:history="1">
                    <w:r w:rsidR="006161C5" w:rsidRPr="00E26C8A">
                      <w:rPr>
                        <w:rStyle w:val="Hyperlink"/>
                      </w:rPr>
                      <w:t>Indoo</w:t>
                    </w:r>
                    <w:r w:rsidR="006161C5" w:rsidRPr="00E26C8A">
                      <w:rPr>
                        <w:rStyle w:val="Hyperlink"/>
                      </w:rPr>
                      <w:t>r Carbon Dioxide</w:t>
                    </w:r>
                  </w:hyperlink>
                  <w:r w:rsidR="006161C5" w:rsidRPr="00E26C8A">
                    <w:rPr>
                      <w:color w:val="000000"/>
                    </w:rPr>
                    <w:t xml:space="preserve">, </w:t>
                  </w:r>
                  <w:r w:rsidRPr="00E26C8A">
                    <w:rPr>
                      <w:color w:val="000000"/>
                    </w:rPr>
                    <w:t>includes the following positions:</w:t>
                  </w:r>
                </w:p>
                <w:p w14:paraId="2BC1748B" w14:textId="77777777" w:rsidR="00BE77D5" w:rsidRPr="00E26C8A" w:rsidRDefault="00BE77D5" w:rsidP="009F58A8">
                  <w:pPr>
                    <w:rPr>
                      <w:color w:val="000000"/>
                    </w:rPr>
                  </w:pPr>
                </w:p>
                <w:p w14:paraId="1BADF3BB" w14:textId="178428F4" w:rsidR="00BE77D5" w:rsidRPr="00E26C8A" w:rsidRDefault="00BE77D5" w:rsidP="00BE77D5">
                  <w:pPr>
                    <w:numPr>
                      <w:ilvl w:val="0"/>
                      <w:numId w:val="1"/>
                    </w:numPr>
                  </w:pPr>
                  <w:r w:rsidRPr="00E26C8A">
                    <w:t xml:space="preserve">Indoor CO2 concentrations do not provide an overall indication of IAQ, but they can be a useful tool in IAQ assessments if users understand the limitations in these applications. </w:t>
                  </w:r>
                </w:p>
                <w:p w14:paraId="14B94252" w14:textId="7531F77B" w:rsidR="00BE77D5" w:rsidRPr="00E26C8A" w:rsidRDefault="00BE77D5" w:rsidP="00BE77D5">
                  <w:pPr>
                    <w:numPr>
                      <w:ilvl w:val="0"/>
                      <w:numId w:val="1"/>
                    </w:numPr>
                    <w:rPr>
                      <w:color w:val="000000"/>
                    </w:rPr>
                  </w:pPr>
                  <w:r w:rsidRPr="00E26C8A">
                    <w:t xml:space="preserve">Existing evidence for direct impacts of CO2 on health, well-being, learning outcomes, and work performance at commonly observed indoor concentrations is inconsistent, and therefore does not currently justify changes to ventilation and IAQ standards, regulations, or guidelines. </w:t>
                  </w:r>
                </w:p>
                <w:p w14:paraId="2B11B433" w14:textId="42FAF87C" w:rsidR="00BE77D5" w:rsidRPr="00E26C8A" w:rsidRDefault="00BE77D5" w:rsidP="00BE77D5">
                  <w:pPr>
                    <w:numPr>
                      <w:ilvl w:val="0"/>
                      <w:numId w:val="1"/>
                    </w:numPr>
                    <w:rPr>
                      <w:color w:val="000000"/>
                    </w:rPr>
                  </w:pPr>
                  <w:r w:rsidRPr="00E26C8A">
                    <w:t>The use of indoor CO2 measurements to assess and control the risk of airborne disease transmission must account for the definition of acceptable risk, the type of space and its occupancy, and differences in CO2 and infectious aerosol emissions and their subsequent fate and transport.</w:t>
                  </w:r>
                </w:p>
                <w:p w14:paraId="70CDD619" w14:textId="77777777" w:rsidR="006161C5" w:rsidRPr="00E26C8A" w:rsidRDefault="006161C5" w:rsidP="009F58A8">
                  <w:pPr>
                    <w:rPr>
                      <w:color w:val="000000"/>
                    </w:rPr>
                  </w:pPr>
                </w:p>
                <w:p w14:paraId="348F5C73" w14:textId="396065B5" w:rsidR="009F58A8" w:rsidRPr="00E26C8A" w:rsidRDefault="00BE77D5" w:rsidP="009F58A8">
                  <w:pPr>
                    <w:rPr>
                      <w:color w:val="000000"/>
                    </w:rPr>
                  </w:pPr>
                  <w:hyperlink r:id="rId6" w:history="1">
                    <w:r w:rsidRPr="00E26C8A">
                      <w:rPr>
                        <w:rStyle w:val="Hyperlink"/>
                      </w:rPr>
                      <w:t>ASHRAE Standard 62.1-2016</w:t>
                    </w:r>
                  </w:hyperlink>
                  <w:r w:rsidRPr="00E26C8A">
                    <w:rPr>
                      <w:color w:val="000000"/>
                    </w:rPr>
                    <w:t>,</w:t>
                  </w:r>
                  <w:r w:rsidRPr="00E26C8A">
                    <w:rPr>
                      <w:color w:val="000000"/>
                    </w:rPr>
                    <w:t xml:space="preserve"> “</w:t>
                  </w:r>
                  <w:r w:rsidRPr="00E26C8A">
                    <w:rPr>
                      <w:i/>
                      <w:iCs/>
                      <w:color w:val="000000"/>
                    </w:rPr>
                    <w:t>Ventilation for Acceptable Indoor Air Quality</w:t>
                  </w:r>
                  <w:r w:rsidRPr="00E26C8A">
                    <w:rPr>
                      <w:color w:val="000000"/>
                    </w:rPr>
                    <w:t xml:space="preserve">”, </w:t>
                  </w:r>
                  <w:r w:rsidRPr="00E26C8A">
                    <w:rPr>
                      <w:color w:val="000000"/>
                    </w:rPr>
                    <w:t xml:space="preserve">in an Appendix D, </w:t>
                  </w:r>
                  <w:r w:rsidRPr="00E26C8A">
                    <w:rPr>
                      <w:i/>
                      <w:iCs/>
                      <w:color w:val="000000"/>
                    </w:rPr>
                    <w:t>Summary of Selected Air Quality Guidelines</w:t>
                  </w:r>
                  <w:r w:rsidRPr="00E26C8A">
                    <w:rPr>
                      <w:i/>
                      <w:iCs/>
                      <w:color w:val="000000"/>
                    </w:rPr>
                    <w:t xml:space="preserve">, </w:t>
                  </w:r>
                  <w:r w:rsidRPr="00E26C8A">
                    <w:rPr>
                      <w:color w:val="000000"/>
                    </w:rPr>
                    <w:t>notes that</w:t>
                  </w:r>
                  <w:r w:rsidRPr="00E26C8A">
                    <w:rPr>
                      <w:i/>
                      <w:iCs/>
                      <w:color w:val="000000"/>
                    </w:rPr>
                    <w:t xml:space="preserve"> </w:t>
                  </w:r>
                  <w:r w:rsidR="009F58A8" w:rsidRPr="00E26C8A">
                    <w:rPr>
                      <w:color w:val="000000"/>
                    </w:rPr>
                    <w:t>CO</w:t>
                  </w:r>
                  <w:r w:rsidR="009F58A8" w:rsidRPr="00E26C8A">
                    <w:rPr>
                      <w:color w:val="000000"/>
                      <w:vertAlign w:val="subscript"/>
                    </w:rPr>
                    <w:t>2</w:t>
                  </w:r>
                  <w:r w:rsidR="009F58A8" w:rsidRPr="00E26C8A">
                    <w:rPr>
                      <w:color w:val="000000"/>
                    </w:rPr>
                    <w:t xml:space="preserve"> at very high concentrations (</w:t>
                  </w:r>
                  <w:proofErr w:type="gramStart"/>
                  <w:r w:rsidR="009F58A8" w:rsidRPr="00E26C8A">
                    <w:rPr>
                      <w:color w:val="000000"/>
                    </w:rPr>
                    <w:t>e.g.</w:t>
                  </w:r>
                  <w:proofErr w:type="gramEnd"/>
                  <w:r w:rsidR="009F58A8" w:rsidRPr="00E26C8A">
                    <w:rPr>
                      <w:color w:val="000000"/>
                    </w:rPr>
                    <w:t xml:space="preserve"> greater than 5000 ppm) can pose a health risk.</w:t>
                  </w:r>
                  <w:r w:rsidRPr="00E26C8A">
                    <w:rPr>
                      <w:color w:val="000000"/>
                    </w:rPr>
                    <w:t xml:space="preserve"> </w:t>
                  </w:r>
                  <w:r w:rsidR="009F58A8" w:rsidRPr="00E26C8A">
                    <w:rPr>
                      <w:color w:val="000000"/>
                    </w:rPr>
                    <w:t>However, in most buildings, concentrations almost never rise to these levels.  CO</w:t>
                  </w:r>
                  <w:r w:rsidR="009F58A8" w:rsidRPr="00E26C8A">
                    <w:rPr>
                      <w:color w:val="000000"/>
                      <w:vertAlign w:val="subscript"/>
                    </w:rPr>
                    <w:t>2</w:t>
                  </w:r>
                  <w:r w:rsidR="009F58A8" w:rsidRPr="00E26C8A">
                    <w:rPr>
                      <w:color w:val="000000"/>
                    </w:rPr>
                    <w:t xml:space="preserve"> at the concentrations commonly found in buildings is not a direct health risk, but CO</w:t>
                  </w:r>
                  <w:r w:rsidR="009F58A8" w:rsidRPr="00E26C8A">
                    <w:rPr>
                      <w:color w:val="000000"/>
                      <w:vertAlign w:val="subscript"/>
                    </w:rPr>
                    <w:t>2</w:t>
                  </w:r>
                  <w:r w:rsidR="009F58A8" w:rsidRPr="00E26C8A">
                    <w:rPr>
                      <w:color w:val="000000"/>
                    </w:rPr>
                    <w:t xml:space="preserve"> concentrations can be used as an indicator of occupant odors (odorous </w:t>
                  </w:r>
                  <w:proofErr w:type="spellStart"/>
                  <w:r w:rsidR="009F58A8" w:rsidRPr="00E26C8A">
                    <w:rPr>
                      <w:color w:val="000000"/>
                    </w:rPr>
                    <w:t>bioeffluents</w:t>
                  </w:r>
                  <w:proofErr w:type="spellEnd"/>
                  <w:r w:rsidR="009F58A8" w:rsidRPr="00E26C8A">
                    <w:rPr>
                      <w:color w:val="000000"/>
                    </w:rPr>
                    <w:t>) and occupant acceptance of these odors. At the activity levels found in typical office buildings, steady-state CO</w:t>
                  </w:r>
                  <w:r w:rsidR="009F58A8" w:rsidRPr="00E26C8A">
                    <w:rPr>
                      <w:color w:val="000000"/>
                      <w:vertAlign w:val="subscript"/>
                    </w:rPr>
                    <w:t>2</w:t>
                  </w:r>
                  <w:r w:rsidR="009F58A8" w:rsidRPr="00E26C8A">
                    <w:rPr>
                      <w:color w:val="000000"/>
                    </w:rPr>
                    <w:t xml:space="preserve"> concentrations of about 700 ppm above outdoor air levels indicate an outdoor air ventilation rate of about 7.5 L/s/person (15 cfm/person).  Laboratory and field studies have shown that this rate of ventilation will dilute odors from human </w:t>
                  </w:r>
                  <w:proofErr w:type="spellStart"/>
                  <w:r w:rsidR="009F58A8" w:rsidRPr="00E26C8A">
                    <w:rPr>
                      <w:color w:val="000000"/>
                    </w:rPr>
                    <w:t>bioeffluents</w:t>
                  </w:r>
                  <w:proofErr w:type="spellEnd"/>
                  <w:r w:rsidR="009F58A8" w:rsidRPr="00E26C8A">
                    <w:rPr>
                      <w:color w:val="000000"/>
                    </w:rPr>
                    <w:t xml:space="preserve"> to levels that will satisfy a substantial majority (about 80%) of </w:t>
                  </w:r>
                  <w:proofErr w:type="spellStart"/>
                  <w:r w:rsidR="009F58A8" w:rsidRPr="00E26C8A">
                    <w:rPr>
                      <w:color w:val="000000"/>
                    </w:rPr>
                    <w:t>unadapted</w:t>
                  </w:r>
                  <w:proofErr w:type="spellEnd"/>
                  <w:r w:rsidR="009F58A8" w:rsidRPr="00E26C8A">
                    <w:rPr>
                      <w:color w:val="000000"/>
                    </w:rPr>
                    <w:t xml:space="preserve"> persons (visitors) in a space.  CO</w:t>
                  </w:r>
                  <w:r w:rsidR="009F58A8" w:rsidRPr="00E26C8A">
                    <w:rPr>
                      <w:color w:val="000000"/>
                      <w:vertAlign w:val="subscript"/>
                    </w:rPr>
                    <w:t>2</w:t>
                  </w:r>
                  <w:r w:rsidR="009F58A8" w:rsidRPr="00E26C8A">
                    <w:rPr>
                      <w:color w:val="000000"/>
                    </w:rPr>
                    <w:t xml:space="preserve"> concentrations in outdoor air typically range from 300 to 500 ppm.  Thus indoor CO</w:t>
                  </w:r>
                  <w:r w:rsidR="009F58A8" w:rsidRPr="00E26C8A">
                    <w:rPr>
                      <w:color w:val="000000"/>
                      <w:vertAlign w:val="subscript"/>
                    </w:rPr>
                    <w:t>2</w:t>
                  </w:r>
                  <w:r w:rsidR="009F58A8" w:rsidRPr="00E26C8A">
                    <w:rPr>
                      <w:color w:val="000000"/>
                    </w:rPr>
                    <w:t xml:space="preserve"> concentrations of 1000 to 1200 ppm in spaces housing sedentary people is an indicator that a substantial majority of visitors entering the space will be satisfied with respect to human </w:t>
                  </w:r>
                  <w:proofErr w:type="spellStart"/>
                  <w:r w:rsidR="009F58A8" w:rsidRPr="00E26C8A">
                    <w:rPr>
                      <w:color w:val="000000"/>
                    </w:rPr>
                    <w:t>bioeffluents</w:t>
                  </w:r>
                  <w:proofErr w:type="spellEnd"/>
                  <w:r w:rsidR="009F58A8" w:rsidRPr="00E26C8A">
                    <w:rPr>
                      <w:color w:val="000000"/>
                    </w:rPr>
                    <w:t xml:space="preserve"> (body odor).  Note however that CO</w:t>
                  </w:r>
                  <w:r w:rsidR="009F58A8" w:rsidRPr="00E26C8A">
                    <w:rPr>
                      <w:color w:val="000000"/>
                      <w:vertAlign w:val="subscript"/>
                    </w:rPr>
                    <w:t>2</w:t>
                  </w:r>
                  <w:r w:rsidR="009F58A8" w:rsidRPr="00E26C8A">
                    <w:rPr>
                      <w:color w:val="000000"/>
                    </w:rPr>
                    <w:t xml:space="preserve"> concentration is not a good indicator of the concentration and occupant acceptance of other indoor contaminants, such as volatile organic compounds off-gassing from furnishings and building materials.  Thus CO</w:t>
                  </w:r>
                  <w:r w:rsidR="009F58A8" w:rsidRPr="00E26C8A">
                    <w:rPr>
                      <w:color w:val="000000"/>
                      <w:vertAlign w:val="subscript"/>
                    </w:rPr>
                    <w:t>2</w:t>
                  </w:r>
                  <w:r w:rsidR="009F58A8" w:rsidRPr="00E26C8A">
                    <w:rPr>
                      <w:color w:val="000000"/>
                    </w:rPr>
                    <w:t xml:space="preserve"> concentration is not a reliable indicator of overall building air quality.</w:t>
                  </w:r>
                </w:p>
                <w:p w14:paraId="7ADA7BC5" w14:textId="77777777" w:rsidR="009F58A8" w:rsidRPr="00E26C8A" w:rsidRDefault="009F58A8" w:rsidP="009F58A8">
                  <w:pPr>
                    <w:rPr>
                      <w:color w:val="000000"/>
                    </w:rPr>
                  </w:pPr>
                </w:p>
                <w:p w14:paraId="2ACB2629" w14:textId="77777777" w:rsidR="009F58A8" w:rsidRPr="00E26C8A" w:rsidRDefault="009F58A8" w:rsidP="009F58A8">
                  <w:pPr>
                    <w:rPr>
                      <w:color w:val="000000"/>
                    </w:rPr>
                  </w:pPr>
                  <w:r w:rsidRPr="00E26C8A">
                    <w:rPr>
                      <w:color w:val="000000"/>
                    </w:rPr>
                    <w:t>A more detailed discussion of this relationship between CO</w:t>
                  </w:r>
                  <w:r w:rsidRPr="00E26C8A">
                    <w:rPr>
                      <w:color w:val="000000"/>
                      <w:vertAlign w:val="subscript"/>
                    </w:rPr>
                    <w:t>2</w:t>
                  </w:r>
                  <w:r w:rsidRPr="00E26C8A">
                    <w:rPr>
                      <w:color w:val="000000"/>
                    </w:rPr>
                    <w:t xml:space="preserve"> concentrations and the perception of </w:t>
                  </w:r>
                  <w:proofErr w:type="spellStart"/>
                  <w:r w:rsidRPr="00E26C8A">
                    <w:rPr>
                      <w:color w:val="000000"/>
                    </w:rPr>
                    <w:t>bioeffluents</w:t>
                  </w:r>
                  <w:proofErr w:type="spellEnd"/>
                  <w:r w:rsidRPr="00E26C8A">
                    <w:rPr>
                      <w:color w:val="000000"/>
                    </w:rPr>
                    <w:t>, as well as the use of indoor CO</w:t>
                  </w:r>
                  <w:r w:rsidRPr="00E26C8A">
                    <w:rPr>
                      <w:color w:val="000000"/>
                      <w:vertAlign w:val="subscript"/>
                    </w:rPr>
                    <w:t>2</w:t>
                  </w:r>
                  <w:r w:rsidRPr="00E26C8A">
                    <w:rPr>
                      <w:color w:val="000000"/>
                    </w:rPr>
                    <w:t xml:space="preserve"> to estimate building ventilation rates, is contained in ASTM Standard D6245.</w:t>
                  </w:r>
                </w:p>
                <w:p w14:paraId="4E83B475" w14:textId="6BBB1C79" w:rsidR="003E79D2" w:rsidRPr="00E26C8A" w:rsidRDefault="003E79D2" w:rsidP="00582A4E">
                  <w:r w:rsidRPr="00E26C8A">
                    <w:rPr>
                      <w:color w:val="000000"/>
                    </w:rPr>
                    <w:lastRenderedPageBreak/>
                    <w:br/>
                    <w:t xml:space="preserve">Additional information on this subject can be found in </w:t>
                  </w:r>
                  <w:hyperlink r:id="rId7" w:history="1">
                    <w:r w:rsidR="00BE77D5" w:rsidRPr="00E26C8A">
                      <w:rPr>
                        <w:rStyle w:val="Hyperlink"/>
                      </w:rPr>
                      <w:t>ASHRAE Standard 62.1-2016</w:t>
                    </w:r>
                  </w:hyperlink>
                  <w:r w:rsidR="00BE77D5" w:rsidRPr="00E26C8A">
                    <w:t xml:space="preserve">, </w:t>
                  </w:r>
                  <w:r w:rsidRPr="00E26C8A">
                    <w:rPr>
                      <w:color w:val="000000"/>
                    </w:rPr>
                    <w:t xml:space="preserve">"Ventilation for Acceptable Indoor Air Quality", plus </w:t>
                  </w:r>
                  <w:hyperlink r:id="rId8" w:history="1">
                    <w:r w:rsidR="00E77911" w:rsidRPr="00E26C8A">
                      <w:rPr>
                        <w:rStyle w:val="Hyperlink"/>
                      </w:rPr>
                      <w:t>ASHRAE BOD approved addenda</w:t>
                    </w:r>
                  </w:hyperlink>
                  <w:r w:rsidRPr="00E26C8A">
                    <w:rPr>
                      <w:color w:val="000000"/>
                    </w:rPr>
                    <w:t>. This standard specifies outside air ventilation rates and maximum levels of indoor contaminants and other chemicals for acceptable indoor air quality.</w:t>
                  </w:r>
                  <w:r w:rsidRPr="00E26C8A">
                    <w:rPr>
                      <w:color w:val="000000"/>
                    </w:rPr>
                    <w:br/>
                  </w:r>
                  <w:r w:rsidRPr="00E26C8A">
                    <w:rPr>
                      <w:color w:val="000000"/>
                    </w:rPr>
                    <w:br/>
                    <w:t xml:space="preserve">Copies of the standard, the latest addenda, and other publications may be purchased on-line at our website, </w:t>
                  </w:r>
                  <w:hyperlink r:id="rId9" w:history="1">
                    <w:r w:rsidR="009C712A" w:rsidRPr="00E26C8A">
                      <w:rPr>
                        <w:rStyle w:val="Hyperlink"/>
                      </w:rPr>
                      <w:t>www.ashrae.org</w:t>
                    </w:r>
                  </w:hyperlink>
                  <w:r w:rsidRPr="00E26C8A">
                    <w:rPr>
                      <w:color w:val="000000"/>
                    </w:rPr>
                    <w:t xml:space="preserve"> or by calling 1-800-527-4723 in the USA and Canada or 1-404-636-8400 worldwide. Addenda to the standards may be downloaded for free.</w:t>
                  </w:r>
                </w:p>
              </w:tc>
            </w:tr>
            <w:tr w:rsidR="003E79D2" w:rsidRPr="00E26C8A" w14:paraId="39119994" w14:textId="77777777" w:rsidTr="00BE77D5">
              <w:trPr>
                <w:gridAfter w:val="1"/>
                <w:wAfter w:w="343" w:type="pct"/>
                <w:trHeight w:val="212"/>
                <w:tblCellSpacing w:w="0" w:type="dxa"/>
              </w:trPr>
              <w:tc>
                <w:tcPr>
                  <w:tcW w:w="4657" w:type="pct"/>
                  <w:gridSpan w:val="3"/>
                  <w:vAlign w:val="center"/>
                </w:tcPr>
                <w:p w14:paraId="249D13E9" w14:textId="77777777" w:rsidR="003E79D2" w:rsidRPr="00E26C8A" w:rsidRDefault="00E26C8A">
                  <w:r w:rsidRPr="00E26C8A">
                    <w:lastRenderedPageBreak/>
                    <w:pict w14:anchorId="60BA0EB0">
                      <v:rect id="_x0000_i1220" style="width:0;height:1.5pt" o:hralign="center" o:hrstd="t" o:hr="t" fillcolor="#aca899" stroked="f"/>
                    </w:pict>
                  </w:r>
                </w:p>
              </w:tc>
            </w:tr>
            <w:tr w:rsidR="003E79D2" w:rsidRPr="00E26C8A" w14:paraId="547394B6" w14:textId="77777777" w:rsidTr="00BE77D5">
              <w:trPr>
                <w:gridAfter w:val="1"/>
                <w:wAfter w:w="343" w:type="pct"/>
                <w:trHeight w:val="396"/>
                <w:tblCellSpacing w:w="0" w:type="dxa"/>
              </w:trPr>
              <w:tc>
                <w:tcPr>
                  <w:tcW w:w="913" w:type="pct"/>
                  <w:vAlign w:val="center"/>
                </w:tcPr>
                <w:p w14:paraId="733D84A0" w14:textId="77777777" w:rsidR="003E79D2" w:rsidRPr="00E26C8A" w:rsidRDefault="003E79D2">
                  <w:r w:rsidRPr="00E26C8A">
                    <w:t xml:space="preserve">ASHRAE Pubs </w:t>
                  </w:r>
                </w:p>
              </w:tc>
              <w:tc>
                <w:tcPr>
                  <w:tcW w:w="3744" w:type="pct"/>
                  <w:gridSpan w:val="2"/>
                  <w:vAlign w:val="center"/>
                </w:tcPr>
                <w:p w14:paraId="06A81290" w14:textId="7CCC4D65" w:rsidR="003E79D2" w:rsidRPr="00E26C8A" w:rsidRDefault="00BE77D5" w:rsidP="00496AF4">
                  <w:pPr>
                    <w:rPr>
                      <w:color w:val="000000"/>
                    </w:rPr>
                  </w:pPr>
                  <w:hyperlink r:id="rId10" w:history="1">
                    <w:r w:rsidRPr="00E26C8A">
                      <w:rPr>
                        <w:rStyle w:val="Hyperlink"/>
                      </w:rPr>
                      <w:t>ASHRAE Standard 62.1-2016</w:t>
                    </w:r>
                  </w:hyperlink>
                  <w:r w:rsidR="003E79D2" w:rsidRPr="00E26C8A">
                    <w:rPr>
                      <w:color w:val="000000"/>
                    </w:rPr>
                    <w:t xml:space="preserve">, Appendix </w:t>
                  </w:r>
                  <w:r w:rsidR="00496AF4" w:rsidRPr="00E26C8A">
                    <w:rPr>
                      <w:color w:val="000000"/>
                    </w:rPr>
                    <w:t>D</w:t>
                  </w:r>
                  <w:r w:rsidR="003E79D2" w:rsidRPr="00E26C8A">
                    <w:rPr>
                      <w:color w:val="000000"/>
                    </w:rPr>
                    <w:t>.</w:t>
                  </w:r>
                </w:p>
                <w:p w14:paraId="4C37CF3C" w14:textId="77777777" w:rsidR="00BF4840" w:rsidRPr="00E26C8A" w:rsidRDefault="00BF4840" w:rsidP="00496AF4"/>
                <w:p w14:paraId="1A15E15E" w14:textId="4CF8E51B" w:rsidR="00BF4840" w:rsidRPr="00E26C8A" w:rsidRDefault="00B901AE" w:rsidP="00496AF4">
                  <w:hyperlink r:id="rId11" w:history="1">
                    <w:r w:rsidRPr="00E26C8A">
                      <w:rPr>
                        <w:rStyle w:val="Hyperlink"/>
                      </w:rPr>
                      <w:t xml:space="preserve">Indoor Carbon Dioxide </w:t>
                    </w:r>
                    <w:r w:rsidR="00BF4840" w:rsidRPr="00E26C8A">
                      <w:rPr>
                        <w:rStyle w:val="Hyperlink"/>
                      </w:rPr>
                      <w:t>ASHRAE P</w:t>
                    </w:r>
                    <w:r w:rsidRPr="00E26C8A">
                      <w:rPr>
                        <w:rStyle w:val="Hyperlink"/>
                      </w:rPr>
                      <w:t>osition Document</w:t>
                    </w:r>
                  </w:hyperlink>
                  <w:r w:rsidRPr="00E26C8A">
                    <w:t xml:space="preserve"> </w:t>
                  </w:r>
                </w:p>
              </w:tc>
            </w:tr>
            <w:tr w:rsidR="003E79D2" w:rsidRPr="00E26C8A" w14:paraId="7C0323F1" w14:textId="77777777" w:rsidTr="00BE77D5">
              <w:trPr>
                <w:gridAfter w:val="1"/>
                <w:wAfter w:w="343" w:type="pct"/>
                <w:trHeight w:val="198"/>
                <w:tblCellSpacing w:w="0" w:type="dxa"/>
              </w:trPr>
              <w:tc>
                <w:tcPr>
                  <w:tcW w:w="4657" w:type="pct"/>
                  <w:gridSpan w:val="3"/>
                  <w:vAlign w:val="center"/>
                </w:tcPr>
                <w:p w14:paraId="711CE17B" w14:textId="77777777" w:rsidR="003E79D2" w:rsidRPr="00E26C8A" w:rsidRDefault="00E26C8A">
                  <w:r w:rsidRPr="00E26C8A">
                    <w:pict w14:anchorId="5CD268F3">
                      <v:rect id="_x0000_i1221" style="width:0;height:1.5pt" o:hralign="center" o:hrstd="t" o:hr="t" fillcolor="#aca899" stroked="f"/>
                    </w:pict>
                  </w:r>
                </w:p>
              </w:tc>
            </w:tr>
            <w:tr w:rsidR="003E79D2" w:rsidRPr="00E26C8A" w14:paraId="1D4F834E" w14:textId="77777777" w:rsidTr="00BE77D5">
              <w:trPr>
                <w:gridAfter w:val="1"/>
                <w:wAfter w:w="343" w:type="pct"/>
                <w:trHeight w:val="396"/>
                <w:tblCellSpacing w:w="0" w:type="dxa"/>
              </w:trPr>
              <w:tc>
                <w:tcPr>
                  <w:tcW w:w="913" w:type="pct"/>
                  <w:vAlign w:val="center"/>
                </w:tcPr>
                <w:p w14:paraId="1F86C2EC" w14:textId="77777777" w:rsidR="003E79D2" w:rsidRPr="00E26C8A" w:rsidRDefault="003E79D2">
                  <w:r w:rsidRPr="00E26C8A">
                    <w:t xml:space="preserve">Topic References </w:t>
                  </w:r>
                </w:p>
              </w:tc>
              <w:tc>
                <w:tcPr>
                  <w:tcW w:w="3744" w:type="pct"/>
                  <w:gridSpan w:val="2"/>
                  <w:vAlign w:val="center"/>
                </w:tcPr>
                <w:p w14:paraId="0FF0A0A5" w14:textId="77777777" w:rsidR="003E79D2" w:rsidRPr="00E26C8A" w:rsidRDefault="003E79D2">
                  <w:r w:rsidRPr="00E26C8A">
                    <w:rPr>
                      <w:color w:val="000000"/>
                    </w:rPr>
                    <w:t>Indoor Air Contaminants</w:t>
                  </w:r>
                  <w:r w:rsidRPr="00E26C8A">
                    <w:rPr>
                      <w:color w:val="000000"/>
                    </w:rPr>
                    <w:br/>
                    <w:t>Carbon Dioxide</w:t>
                  </w:r>
                </w:p>
              </w:tc>
            </w:tr>
            <w:tr w:rsidR="003E79D2" w:rsidRPr="00E26C8A" w14:paraId="0765BDA6" w14:textId="77777777" w:rsidTr="00BE77D5">
              <w:trPr>
                <w:trHeight w:val="198"/>
                <w:tblCellSpacing w:w="0" w:type="dxa"/>
              </w:trPr>
              <w:tc>
                <w:tcPr>
                  <w:tcW w:w="5000" w:type="pct"/>
                  <w:gridSpan w:val="4"/>
                  <w:vAlign w:val="center"/>
                </w:tcPr>
                <w:p w14:paraId="0E6D0501" w14:textId="77777777" w:rsidR="003E79D2" w:rsidRPr="00E26C8A" w:rsidRDefault="00E26C8A">
                  <w:r w:rsidRPr="00E26C8A">
                    <w:pict w14:anchorId="0F112B84">
                      <v:rect id="_x0000_i1222" style="width:0;height:1.5pt" o:hralign="center" o:hrstd="t" o:hr="t" fillcolor="#aca899" stroked="f"/>
                    </w:pict>
                  </w:r>
                </w:p>
              </w:tc>
            </w:tr>
            <w:tr w:rsidR="003E79D2" w14:paraId="2706E003" w14:textId="77777777" w:rsidTr="00BE77D5">
              <w:trPr>
                <w:gridAfter w:val="2"/>
                <w:wAfter w:w="715" w:type="pct"/>
                <w:trHeight w:val="2121"/>
                <w:tblCellSpacing w:w="0" w:type="dxa"/>
              </w:trPr>
              <w:tc>
                <w:tcPr>
                  <w:tcW w:w="4285"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3E79D2" w:rsidRPr="00E26C8A" w14:paraId="002472EC" w14:textId="77777777" w:rsidTr="001624E1">
                    <w:trPr>
                      <w:trHeight w:val="316"/>
                      <w:jc w:val="center"/>
                    </w:trPr>
                    <w:tc>
                      <w:tcPr>
                        <w:tcW w:w="460" w:type="dxa"/>
                      </w:tcPr>
                      <w:p w14:paraId="65294B51" w14:textId="77777777" w:rsidR="003E79D2" w:rsidRPr="00E26C8A" w:rsidRDefault="003E79D2"/>
                    </w:tc>
                    <w:tc>
                      <w:tcPr>
                        <w:tcW w:w="3600" w:type="dxa"/>
                      </w:tcPr>
                      <w:p w14:paraId="7C3B3D3C" w14:textId="77777777" w:rsidR="003E79D2" w:rsidRPr="00E26C8A" w:rsidRDefault="003E79D2">
                        <w:r w:rsidRPr="00E26C8A">
                          <w:t>Cognizant ASHRAE Committees</w:t>
                        </w:r>
                      </w:p>
                    </w:tc>
                    <w:tc>
                      <w:tcPr>
                        <w:tcW w:w="2520" w:type="dxa"/>
                      </w:tcPr>
                      <w:p w14:paraId="07A92CB3" w14:textId="77777777" w:rsidR="003E79D2" w:rsidRPr="00E26C8A" w:rsidRDefault="003E79D2">
                        <w:r w:rsidRPr="00E26C8A">
                          <w:t>Refer to Organization</w:t>
                        </w:r>
                      </w:p>
                    </w:tc>
                  </w:tr>
                  <w:tr w:rsidR="003E79D2" w:rsidRPr="00E26C8A" w14:paraId="36BCF37C" w14:textId="77777777" w:rsidTr="001624E1">
                    <w:trPr>
                      <w:trHeight w:val="293"/>
                      <w:jc w:val="center"/>
                    </w:trPr>
                    <w:tc>
                      <w:tcPr>
                        <w:tcW w:w="460" w:type="dxa"/>
                      </w:tcPr>
                      <w:p w14:paraId="11597B70" w14:textId="77777777" w:rsidR="003E79D2" w:rsidRPr="00E26C8A" w:rsidRDefault="003E79D2">
                        <w:r w:rsidRPr="00E26C8A">
                          <w:t>1</w:t>
                        </w:r>
                      </w:p>
                    </w:tc>
                    <w:tc>
                      <w:tcPr>
                        <w:tcW w:w="3600" w:type="dxa"/>
                      </w:tcPr>
                      <w:p w14:paraId="30E137E7" w14:textId="77777777" w:rsidR="003E79D2" w:rsidRPr="00E26C8A" w:rsidRDefault="00E26C8A">
                        <w:hyperlink r:id="rId12" w:history="1">
                          <w:r w:rsidR="00FB007B" w:rsidRPr="00E26C8A">
                            <w:rPr>
                              <w:rStyle w:val="Hyperlink"/>
                            </w:rPr>
                            <w:t>TC 4.3</w:t>
                          </w:r>
                        </w:hyperlink>
                      </w:p>
                    </w:tc>
                    <w:tc>
                      <w:tcPr>
                        <w:tcW w:w="2520" w:type="dxa"/>
                      </w:tcPr>
                      <w:p w14:paraId="4B2A7450" w14:textId="77777777" w:rsidR="003E79D2" w:rsidRPr="00E26C8A" w:rsidRDefault="00E26C8A">
                        <w:hyperlink r:id="rId13" w:history="1">
                          <w:r w:rsidR="009F58A8" w:rsidRPr="00E26C8A">
                            <w:rPr>
                              <w:rStyle w:val="Hyperlink"/>
                            </w:rPr>
                            <w:t>ASTM</w:t>
                          </w:r>
                        </w:hyperlink>
                      </w:p>
                    </w:tc>
                  </w:tr>
                  <w:tr w:rsidR="003E79D2" w:rsidRPr="00E26C8A" w14:paraId="41BCCCC2" w14:textId="77777777" w:rsidTr="001624E1">
                    <w:trPr>
                      <w:trHeight w:val="293"/>
                      <w:jc w:val="center"/>
                    </w:trPr>
                    <w:tc>
                      <w:tcPr>
                        <w:tcW w:w="460" w:type="dxa"/>
                      </w:tcPr>
                      <w:p w14:paraId="09D5AE66" w14:textId="77777777" w:rsidR="003E79D2" w:rsidRPr="00E26C8A" w:rsidRDefault="003E79D2">
                        <w:r w:rsidRPr="00E26C8A">
                          <w:t>2</w:t>
                        </w:r>
                      </w:p>
                    </w:tc>
                    <w:tc>
                      <w:tcPr>
                        <w:tcW w:w="3600" w:type="dxa"/>
                      </w:tcPr>
                      <w:p w14:paraId="65902411" w14:textId="77777777" w:rsidR="003E79D2" w:rsidRPr="00E26C8A" w:rsidRDefault="003E79D2">
                        <w:r w:rsidRPr="00E26C8A">
                          <w:t>SSPC 62.1</w:t>
                        </w:r>
                      </w:p>
                    </w:tc>
                    <w:tc>
                      <w:tcPr>
                        <w:tcW w:w="2520" w:type="dxa"/>
                      </w:tcPr>
                      <w:p w14:paraId="65C49609" w14:textId="77777777" w:rsidR="003E79D2" w:rsidRPr="00E26C8A" w:rsidRDefault="003E79D2"/>
                    </w:tc>
                  </w:tr>
                  <w:tr w:rsidR="003E79D2" w:rsidRPr="00E26C8A" w14:paraId="15F9B0B9" w14:textId="77777777" w:rsidTr="001624E1">
                    <w:trPr>
                      <w:trHeight w:val="293"/>
                      <w:jc w:val="center"/>
                    </w:trPr>
                    <w:tc>
                      <w:tcPr>
                        <w:tcW w:w="460" w:type="dxa"/>
                      </w:tcPr>
                      <w:p w14:paraId="03080120" w14:textId="77777777" w:rsidR="003E79D2" w:rsidRPr="00E26C8A" w:rsidRDefault="003E79D2">
                        <w:r w:rsidRPr="00E26C8A">
                          <w:t>3</w:t>
                        </w:r>
                      </w:p>
                    </w:tc>
                    <w:tc>
                      <w:tcPr>
                        <w:tcW w:w="3600" w:type="dxa"/>
                      </w:tcPr>
                      <w:p w14:paraId="651FE983" w14:textId="77777777" w:rsidR="003E79D2" w:rsidRPr="00E26C8A" w:rsidRDefault="003E79D2"/>
                    </w:tc>
                    <w:tc>
                      <w:tcPr>
                        <w:tcW w:w="2520" w:type="dxa"/>
                      </w:tcPr>
                      <w:p w14:paraId="144E2BF9" w14:textId="77777777" w:rsidR="003E79D2" w:rsidRPr="00E26C8A" w:rsidRDefault="003E79D2"/>
                    </w:tc>
                  </w:tr>
                  <w:tr w:rsidR="003E79D2" w:rsidRPr="00E26C8A" w14:paraId="02AB48B8" w14:textId="77777777" w:rsidTr="001624E1">
                    <w:trPr>
                      <w:trHeight w:val="316"/>
                      <w:jc w:val="center"/>
                    </w:trPr>
                    <w:tc>
                      <w:tcPr>
                        <w:tcW w:w="460" w:type="dxa"/>
                      </w:tcPr>
                      <w:p w14:paraId="26FD64B4" w14:textId="77777777" w:rsidR="003E79D2" w:rsidRPr="00E26C8A" w:rsidRDefault="003E79D2">
                        <w:r w:rsidRPr="00E26C8A">
                          <w:t>4</w:t>
                        </w:r>
                      </w:p>
                    </w:tc>
                    <w:tc>
                      <w:tcPr>
                        <w:tcW w:w="3600" w:type="dxa"/>
                      </w:tcPr>
                      <w:p w14:paraId="620D0968" w14:textId="77777777" w:rsidR="003E79D2" w:rsidRPr="00E26C8A" w:rsidRDefault="003E79D2"/>
                    </w:tc>
                    <w:tc>
                      <w:tcPr>
                        <w:tcW w:w="2520" w:type="dxa"/>
                      </w:tcPr>
                      <w:p w14:paraId="292EC794" w14:textId="77777777" w:rsidR="003E79D2" w:rsidRPr="00E26C8A" w:rsidRDefault="003E79D2"/>
                    </w:tc>
                  </w:tr>
                  <w:tr w:rsidR="003E79D2" w14:paraId="7DD25088" w14:textId="77777777" w:rsidTr="001624E1">
                    <w:trPr>
                      <w:trHeight w:val="316"/>
                      <w:jc w:val="center"/>
                    </w:trPr>
                    <w:tc>
                      <w:tcPr>
                        <w:tcW w:w="460" w:type="dxa"/>
                      </w:tcPr>
                      <w:p w14:paraId="0011670E" w14:textId="77777777" w:rsidR="003E79D2" w:rsidRDefault="003E79D2">
                        <w:r w:rsidRPr="00E26C8A">
                          <w:t>5</w:t>
                        </w:r>
                      </w:p>
                    </w:tc>
                    <w:tc>
                      <w:tcPr>
                        <w:tcW w:w="3600" w:type="dxa"/>
                      </w:tcPr>
                      <w:p w14:paraId="36AB3E02" w14:textId="77777777" w:rsidR="003E79D2" w:rsidRDefault="003E79D2"/>
                    </w:tc>
                    <w:tc>
                      <w:tcPr>
                        <w:tcW w:w="2520" w:type="dxa"/>
                      </w:tcPr>
                      <w:p w14:paraId="6276ACDC" w14:textId="77777777" w:rsidR="003E79D2" w:rsidRDefault="003E79D2"/>
                    </w:tc>
                  </w:tr>
                </w:tbl>
                <w:p w14:paraId="08685EBB" w14:textId="77777777" w:rsidR="003E79D2" w:rsidRDefault="003E79D2"/>
              </w:tc>
            </w:tr>
            <w:tr w:rsidR="003E79D2" w14:paraId="3BB4CA71" w14:textId="77777777" w:rsidTr="00BE77D5">
              <w:trPr>
                <w:trHeight w:val="212"/>
                <w:tblCellSpacing w:w="0" w:type="dxa"/>
              </w:trPr>
              <w:tc>
                <w:tcPr>
                  <w:tcW w:w="5000" w:type="pct"/>
                  <w:gridSpan w:val="4"/>
                  <w:vAlign w:val="center"/>
                </w:tcPr>
                <w:p w14:paraId="4DCC8FC8" w14:textId="77777777" w:rsidR="003E79D2" w:rsidRDefault="003E79D2"/>
              </w:tc>
            </w:tr>
          </w:tbl>
          <w:p w14:paraId="21C72246" w14:textId="77777777" w:rsidR="003E79D2" w:rsidRDefault="003E79D2"/>
        </w:tc>
        <w:tc>
          <w:tcPr>
            <w:tcW w:w="0" w:type="auto"/>
            <w:vAlign w:val="center"/>
          </w:tcPr>
          <w:p w14:paraId="6F7AAD5F" w14:textId="77777777" w:rsidR="003E79D2" w:rsidRDefault="003E79D2">
            <w:pPr>
              <w:rPr>
                <w:sz w:val="20"/>
                <w:szCs w:val="20"/>
              </w:rPr>
            </w:pPr>
          </w:p>
        </w:tc>
      </w:tr>
    </w:tbl>
    <w:p w14:paraId="27372AE3" w14:textId="77777777" w:rsidR="0073616E" w:rsidRPr="005E4570" w:rsidRDefault="0073616E" w:rsidP="00F1646D"/>
    <w:sectPr w:rsidR="0073616E"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85DD3"/>
    <w:multiLevelType w:val="hybridMultilevel"/>
    <w:tmpl w:val="4CB4F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23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651CB"/>
    <w:rsid w:val="000142F9"/>
    <w:rsid w:val="00026B8D"/>
    <w:rsid w:val="000405EC"/>
    <w:rsid w:val="00043D6E"/>
    <w:rsid w:val="00053B42"/>
    <w:rsid w:val="0005555B"/>
    <w:rsid w:val="00063BCF"/>
    <w:rsid w:val="000966B6"/>
    <w:rsid w:val="000A4C5E"/>
    <w:rsid w:val="000B1E64"/>
    <w:rsid w:val="000C17CC"/>
    <w:rsid w:val="000C3D1F"/>
    <w:rsid w:val="000C7C12"/>
    <w:rsid w:val="000D61FB"/>
    <w:rsid w:val="000E41B2"/>
    <w:rsid w:val="000E46C8"/>
    <w:rsid w:val="000E4A46"/>
    <w:rsid w:val="00105431"/>
    <w:rsid w:val="00111AD9"/>
    <w:rsid w:val="00133B32"/>
    <w:rsid w:val="00136D1C"/>
    <w:rsid w:val="001538C4"/>
    <w:rsid w:val="00157150"/>
    <w:rsid w:val="001624E1"/>
    <w:rsid w:val="00167169"/>
    <w:rsid w:val="00176F30"/>
    <w:rsid w:val="00177D55"/>
    <w:rsid w:val="001935DF"/>
    <w:rsid w:val="0019749A"/>
    <w:rsid w:val="00197B4B"/>
    <w:rsid w:val="001B7130"/>
    <w:rsid w:val="001F0C26"/>
    <w:rsid w:val="002051F5"/>
    <w:rsid w:val="0020535B"/>
    <w:rsid w:val="002173A6"/>
    <w:rsid w:val="0022293E"/>
    <w:rsid w:val="00232AED"/>
    <w:rsid w:val="002343CF"/>
    <w:rsid w:val="00252728"/>
    <w:rsid w:val="00257E60"/>
    <w:rsid w:val="00271495"/>
    <w:rsid w:val="0027474C"/>
    <w:rsid w:val="0027767A"/>
    <w:rsid w:val="002779BB"/>
    <w:rsid w:val="00281782"/>
    <w:rsid w:val="002825E3"/>
    <w:rsid w:val="002B0D3F"/>
    <w:rsid w:val="002B6692"/>
    <w:rsid w:val="002C6A17"/>
    <w:rsid w:val="002E45EC"/>
    <w:rsid w:val="002F4E1B"/>
    <w:rsid w:val="002F6C9C"/>
    <w:rsid w:val="003117BC"/>
    <w:rsid w:val="003121B2"/>
    <w:rsid w:val="003478DA"/>
    <w:rsid w:val="00354FC9"/>
    <w:rsid w:val="00356BED"/>
    <w:rsid w:val="00357E79"/>
    <w:rsid w:val="003857A7"/>
    <w:rsid w:val="003A0081"/>
    <w:rsid w:val="003A1FF8"/>
    <w:rsid w:val="003A2FCC"/>
    <w:rsid w:val="003A7837"/>
    <w:rsid w:val="003B7412"/>
    <w:rsid w:val="003C0510"/>
    <w:rsid w:val="003C4E8B"/>
    <w:rsid w:val="003D4ED5"/>
    <w:rsid w:val="003E79D2"/>
    <w:rsid w:val="0040222F"/>
    <w:rsid w:val="004138CF"/>
    <w:rsid w:val="00422D24"/>
    <w:rsid w:val="004265F2"/>
    <w:rsid w:val="004275F8"/>
    <w:rsid w:val="00437DC1"/>
    <w:rsid w:val="004424C2"/>
    <w:rsid w:val="00445223"/>
    <w:rsid w:val="004466ED"/>
    <w:rsid w:val="0044728F"/>
    <w:rsid w:val="004543E1"/>
    <w:rsid w:val="00454431"/>
    <w:rsid w:val="00460FE3"/>
    <w:rsid w:val="00476626"/>
    <w:rsid w:val="004816F2"/>
    <w:rsid w:val="00496AF4"/>
    <w:rsid w:val="004A37B0"/>
    <w:rsid w:val="004A4C42"/>
    <w:rsid w:val="004F534E"/>
    <w:rsid w:val="00526CA2"/>
    <w:rsid w:val="005373C0"/>
    <w:rsid w:val="00554020"/>
    <w:rsid w:val="00555DE5"/>
    <w:rsid w:val="005614FF"/>
    <w:rsid w:val="00571372"/>
    <w:rsid w:val="00573B26"/>
    <w:rsid w:val="005750B3"/>
    <w:rsid w:val="00575DE3"/>
    <w:rsid w:val="005823A8"/>
    <w:rsid w:val="00582A4E"/>
    <w:rsid w:val="005A2C76"/>
    <w:rsid w:val="005C2DAE"/>
    <w:rsid w:val="005C3B4D"/>
    <w:rsid w:val="005D5A07"/>
    <w:rsid w:val="005E4570"/>
    <w:rsid w:val="005F09FF"/>
    <w:rsid w:val="005F5381"/>
    <w:rsid w:val="005F6297"/>
    <w:rsid w:val="006016F2"/>
    <w:rsid w:val="006161C5"/>
    <w:rsid w:val="00634806"/>
    <w:rsid w:val="00650ACA"/>
    <w:rsid w:val="006634EA"/>
    <w:rsid w:val="006651CB"/>
    <w:rsid w:val="006A394D"/>
    <w:rsid w:val="006B4FBD"/>
    <w:rsid w:val="006B6767"/>
    <w:rsid w:val="006C4140"/>
    <w:rsid w:val="006E12C9"/>
    <w:rsid w:val="006E623D"/>
    <w:rsid w:val="006F2C88"/>
    <w:rsid w:val="006F48B2"/>
    <w:rsid w:val="007017C3"/>
    <w:rsid w:val="00706381"/>
    <w:rsid w:val="00714365"/>
    <w:rsid w:val="00724256"/>
    <w:rsid w:val="0073616E"/>
    <w:rsid w:val="007467D8"/>
    <w:rsid w:val="00757A1E"/>
    <w:rsid w:val="007630B1"/>
    <w:rsid w:val="007712CD"/>
    <w:rsid w:val="007776A6"/>
    <w:rsid w:val="0078711F"/>
    <w:rsid w:val="00795200"/>
    <w:rsid w:val="007B0644"/>
    <w:rsid w:val="007B13FA"/>
    <w:rsid w:val="007B22F4"/>
    <w:rsid w:val="007B4575"/>
    <w:rsid w:val="007D2981"/>
    <w:rsid w:val="007D4461"/>
    <w:rsid w:val="007D767C"/>
    <w:rsid w:val="00805C24"/>
    <w:rsid w:val="00813A3D"/>
    <w:rsid w:val="00830AF5"/>
    <w:rsid w:val="008462B8"/>
    <w:rsid w:val="00850063"/>
    <w:rsid w:val="0087000C"/>
    <w:rsid w:val="008701B3"/>
    <w:rsid w:val="00881807"/>
    <w:rsid w:val="008A1C67"/>
    <w:rsid w:val="008A5008"/>
    <w:rsid w:val="008A784F"/>
    <w:rsid w:val="008B3AE9"/>
    <w:rsid w:val="008C0BEF"/>
    <w:rsid w:val="008C1198"/>
    <w:rsid w:val="008C5134"/>
    <w:rsid w:val="008D2B09"/>
    <w:rsid w:val="008D5447"/>
    <w:rsid w:val="008E7528"/>
    <w:rsid w:val="00905825"/>
    <w:rsid w:val="00905B08"/>
    <w:rsid w:val="0091138C"/>
    <w:rsid w:val="00931EEA"/>
    <w:rsid w:val="00946D49"/>
    <w:rsid w:val="009515BA"/>
    <w:rsid w:val="00954341"/>
    <w:rsid w:val="00961F04"/>
    <w:rsid w:val="009A0BC4"/>
    <w:rsid w:val="009B6C9C"/>
    <w:rsid w:val="009C1218"/>
    <w:rsid w:val="009C712A"/>
    <w:rsid w:val="009D09C4"/>
    <w:rsid w:val="009F0A2B"/>
    <w:rsid w:val="009F58A8"/>
    <w:rsid w:val="009F747F"/>
    <w:rsid w:val="00A0432D"/>
    <w:rsid w:val="00A07B27"/>
    <w:rsid w:val="00A35BBF"/>
    <w:rsid w:val="00A41EB6"/>
    <w:rsid w:val="00A428DA"/>
    <w:rsid w:val="00A42B5B"/>
    <w:rsid w:val="00A4684A"/>
    <w:rsid w:val="00A479A0"/>
    <w:rsid w:val="00A731E6"/>
    <w:rsid w:val="00A859D3"/>
    <w:rsid w:val="00AF1F33"/>
    <w:rsid w:val="00AF77C5"/>
    <w:rsid w:val="00B02942"/>
    <w:rsid w:val="00B03616"/>
    <w:rsid w:val="00B0665D"/>
    <w:rsid w:val="00B23A11"/>
    <w:rsid w:val="00B439CB"/>
    <w:rsid w:val="00B46DED"/>
    <w:rsid w:val="00B518D4"/>
    <w:rsid w:val="00B51FB5"/>
    <w:rsid w:val="00B625EE"/>
    <w:rsid w:val="00B662F7"/>
    <w:rsid w:val="00B76549"/>
    <w:rsid w:val="00B901AE"/>
    <w:rsid w:val="00B901B4"/>
    <w:rsid w:val="00BA430A"/>
    <w:rsid w:val="00BA6202"/>
    <w:rsid w:val="00BB7846"/>
    <w:rsid w:val="00BC784B"/>
    <w:rsid w:val="00BD3079"/>
    <w:rsid w:val="00BD3FC3"/>
    <w:rsid w:val="00BE505D"/>
    <w:rsid w:val="00BE77D5"/>
    <w:rsid w:val="00BF31F7"/>
    <w:rsid w:val="00BF4840"/>
    <w:rsid w:val="00C164C6"/>
    <w:rsid w:val="00C24D36"/>
    <w:rsid w:val="00C41BCD"/>
    <w:rsid w:val="00C61E34"/>
    <w:rsid w:val="00C659F8"/>
    <w:rsid w:val="00C7107C"/>
    <w:rsid w:val="00C81649"/>
    <w:rsid w:val="00CA1881"/>
    <w:rsid w:val="00CA66F2"/>
    <w:rsid w:val="00CB0012"/>
    <w:rsid w:val="00CE0D06"/>
    <w:rsid w:val="00D1154F"/>
    <w:rsid w:val="00D30DFC"/>
    <w:rsid w:val="00D34EBB"/>
    <w:rsid w:val="00D35BE4"/>
    <w:rsid w:val="00D4058C"/>
    <w:rsid w:val="00D52DA1"/>
    <w:rsid w:val="00D829FF"/>
    <w:rsid w:val="00DA2376"/>
    <w:rsid w:val="00DC7123"/>
    <w:rsid w:val="00DD073D"/>
    <w:rsid w:val="00DE21F3"/>
    <w:rsid w:val="00DF0848"/>
    <w:rsid w:val="00E11623"/>
    <w:rsid w:val="00E16CD2"/>
    <w:rsid w:val="00E26C8A"/>
    <w:rsid w:val="00E27DD7"/>
    <w:rsid w:val="00E33E07"/>
    <w:rsid w:val="00E36E9E"/>
    <w:rsid w:val="00E5165E"/>
    <w:rsid w:val="00E57ACB"/>
    <w:rsid w:val="00E62952"/>
    <w:rsid w:val="00E74BD2"/>
    <w:rsid w:val="00E77911"/>
    <w:rsid w:val="00E83E50"/>
    <w:rsid w:val="00E86038"/>
    <w:rsid w:val="00EA3DD3"/>
    <w:rsid w:val="00EB72AB"/>
    <w:rsid w:val="00EB7677"/>
    <w:rsid w:val="00EF33A2"/>
    <w:rsid w:val="00F00D4E"/>
    <w:rsid w:val="00F0454E"/>
    <w:rsid w:val="00F06E88"/>
    <w:rsid w:val="00F070C1"/>
    <w:rsid w:val="00F1646D"/>
    <w:rsid w:val="00F16773"/>
    <w:rsid w:val="00F200D0"/>
    <w:rsid w:val="00F20FB8"/>
    <w:rsid w:val="00F455AD"/>
    <w:rsid w:val="00F544EB"/>
    <w:rsid w:val="00F62AEB"/>
    <w:rsid w:val="00F64BF0"/>
    <w:rsid w:val="00F76334"/>
    <w:rsid w:val="00F87B2D"/>
    <w:rsid w:val="00FA5F51"/>
    <w:rsid w:val="00FB007B"/>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DCA869D"/>
  <w15:chartTrackingRefBased/>
  <w15:docId w15:val="{EABC36CE-8C0E-4D00-9601-EF5B2C1F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79D2"/>
    <w:rPr>
      <w:color w:val="0000FF"/>
      <w:u w:val="single"/>
    </w:rPr>
  </w:style>
  <w:style w:type="character" w:styleId="FollowedHyperlink">
    <w:name w:val="FollowedHyperlink"/>
    <w:basedOn w:val="DefaultParagraphFont"/>
    <w:rsid w:val="003E79D2"/>
    <w:rPr>
      <w:color w:val="800080"/>
      <w:u w:val="single"/>
    </w:rPr>
  </w:style>
  <w:style w:type="character" w:styleId="UnresolvedMention">
    <w:name w:val="Unresolved Mention"/>
    <w:basedOn w:val="DefaultParagraphFont"/>
    <w:uiPriority w:val="99"/>
    <w:semiHidden/>
    <w:unhideWhenUsed/>
    <w:rsid w:val="00B90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rae.org/standards-research--technology/standards-addenda" TargetMode="External"/><Relationship Id="rId13" Type="http://schemas.openxmlformats.org/officeDocument/2006/relationships/hyperlink" Target="http://www.astm.org" TargetMode="External"/><Relationship Id="rId3" Type="http://schemas.openxmlformats.org/officeDocument/2006/relationships/settings" Target="settings.xml"/><Relationship Id="rId7" Type="http://schemas.openxmlformats.org/officeDocument/2006/relationships/hyperlink" Target="https://www.techstreet.com/ashrae/standards/ashrae-62-1-2016?product_id=1912838" TargetMode="External"/><Relationship Id="rId12" Type="http://schemas.openxmlformats.org/officeDocument/2006/relationships/hyperlink" Target="http://tc0403.ashraet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street.com/ashrae/standards/ashrae-62-1-2016?product_id=1912838" TargetMode="External"/><Relationship Id="rId11" Type="http://schemas.openxmlformats.org/officeDocument/2006/relationships/hyperlink" Target="https://www.ashrae.org/about/position-documents" TargetMode="External"/><Relationship Id="rId5" Type="http://schemas.openxmlformats.org/officeDocument/2006/relationships/hyperlink" Target="https://www.ashrae.org/about/position-documents" TargetMode="External"/><Relationship Id="rId15" Type="http://schemas.openxmlformats.org/officeDocument/2006/relationships/theme" Target="theme/theme1.xml"/><Relationship Id="rId10" Type="http://schemas.openxmlformats.org/officeDocument/2006/relationships/hyperlink" Target="https://www.techstreet.com/ashrae/standards/ashrae-62-1-2016?product_id=1912838" TargetMode="External"/><Relationship Id="rId4" Type="http://schemas.openxmlformats.org/officeDocument/2006/relationships/webSettings" Target="webSettings.xml"/><Relationship Id="rId9" Type="http://schemas.openxmlformats.org/officeDocument/2006/relationships/hyperlink" Target="http://www.ashra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4280</CharactersWithSpaces>
  <SharedDoc>false</SharedDoc>
  <HLinks>
    <vt:vector size="42" baseType="variant">
      <vt:variant>
        <vt:i4>5046342</vt:i4>
      </vt:variant>
      <vt:variant>
        <vt:i4>18</vt:i4>
      </vt:variant>
      <vt:variant>
        <vt:i4>0</vt:i4>
      </vt:variant>
      <vt:variant>
        <vt:i4>5</vt:i4>
      </vt:variant>
      <vt:variant>
        <vt:lpwstr>http://www.astm.org/</vt:lpwstr>
      </vt:variant>
      <vt:variant>
        <vt:lpwstr/>
      </vt:variant>
      <vt:variant>
        <vt:i4>3211326</vt:i4>
      </vt:variant>
      <vt:variant>
        <vt:i4>15</vt:i4>
      </vt:variant>
      <vt:variant>
        <vt:i4>0</vt:i4>
      </vt:variant>
      <vt:variant>
        <vt:i4>5</vt:i4>
      </vt:variant>
      <vt:variant>
        <vt:lpwstr>http://tc43.ashraetcs.org/</vt:lpwstr>
      </vt:variant>
      <vt:variant>
        <vt:lpwstr/>
      </vt:variant>
      <vt:variant>
        <vt:i4>2162765</vt:i4>
      </vt:variant>
      <vt:variant>
        <vt:i4>12</vt:i4>
      </vt:variant>
      <vt:variant>
        <vt:i4>0</vt:i4>
      </vt:variant>
      <vt:variant>
        <vt:i4>5</vt:i4>
      </vt:variant>
      <vt:variant>
        <vt:lpwstr>http://www.techstreet.com/standards/ashrae/62_1_2010?product_id=1720986</vt:lpwstr>
      </vt:variant>
      <vt:variant>
        <vt:lpwstr/>
      </vt:variant>
      <vt:variant>
        <vt:i4>3145788</vt:i4>
      </vt:variant>
      <vt:variant>
        <vt:i4>9</vt:i4>
      </vt:variant>
      <vt:variant>
        <vt:i4>0</vt:i4>
      </vt:variant>
      <vt:variant>
        <vt:i4>5</vt:i4>
      </vt:variant>
      <vt:variant>
        <vt:lpwstr>http://www.ashrae.org/</vt:lpwstr>
      </vt:variant>
      <vt:variant>
        <vt:lpwstr/>
      </vt:variant>
      <vt:variant>
        <vt:i4>3932271</vt:i4>
      </vt:variant>
      <vt:variant>
        <vt:i4>6</vt:i4>
      </vt:variant>
      <vt:variant>
        <vt:i4>0</vt:i4>
      </vt:variant>
      <vt:variant>
        <vt:i4>5</vt:i4>
      </vt:variant>
      <vt:variant>
        <vt:lpwstr>http://www.ashrae.org/standards-research--technology/standards-addenda</vt:lpwstr>
      </vt:variant>
      <vt:variant>
        <vt:lpwstr/>
      </vt:variant>
      <vt:variant>
        <vt:i4>2162765</vt:i4>
      </vt:variant>
      <vt:variant>
        <vt:i4>3</vt:i4>
      </vt:variant>
      <vt:variant>
        <vt:i4>0</vt:i4>
      </vt:variant>
      <vt:variant>
        <vt:i4>5</vt:i4>
      </vt:variant>
      <vt:variant>
        <vt:lpwstr>http://www.techstreet.com/standards/ashrae/62_1_2010?product_id=1720986</vt:lpwstr>
      </vt:variant>
      <vt:variant>
        <vt:lpwstr/>
      </vt:variant>
      <vt:variant>
        <vt:i4>2162765</vt:i4>
      </vt:variant>
      <vt:variant>
        <vt:i4>0</vt:i4>
      </vt:variant>
      <vt:variant>
        <vt:i4>0</vt:i4>
      </vt:variant>
      <vt:variant>
        <vt:i4>5</vt:i4>
      </vt:variant>
      <vt:variant>
        <vt:lpwstr>http://www.techstreet.com/standards/ashrae/62_1_2010?product_id=1720986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Steve Hammerling</cp:lastModifiedBy>
  <cp:revision>7</cp:revision>
  <cp:lastPrinted>2005-12-21T15:18:00Z</cp:lastPrinted>
  <dcterms:created xsi:type="dcterms:W3CDTF">2014-05-27T20:18:00Z</dcterms:created>
  <dcterms:modified xsi:type="dcterms:W3CDTF">2023-10-21T16:05:00Z</dcterms:modified>
</cp:coreProperties>
</file>