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4"/>
        <w:gridCol w:w="6"/>
      </w:tblGrid>
      <w:tr w:rsidR="00B26F66" w14:paraId="051FC4CE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D9B2D25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CFFA844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1196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7208"/>
              <w:gridCol w:w="1458"/>
              <w:gridCol w:w="730"/>
            </w:tblGrid>
            <w:tr w:rsidR="00B26F66" w14:paraId="24E217E5" w14:textId="77777777" w:rsidTr="00395676">
              <w:trPr>
                <w:trHeight w:val="24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ECDB694" w14:textId="77777777" w:rsidR="00B26F66" w:rsidRDefault="00E547BF">
                  <w:r>
                    <w:pict w14:anchorId="6B997AD4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232CBA86" w14:textId="77777777" w:rsidTr="00395676">
              <w:trPr>
                <w:gridAfter w:val="1"/>
                <w:wAfter w:w="326" w:type="pct"/>
                <w:trHeight w:val="276"/>
                <w:tblCellSpacing w:w="0" w:type="dxa"/>
              </w:trPr>
              <w:tc>
                <w:tcPr>
                  <w:tcW w:w="804" w:type="pct"/>
                  <w:vAlign w:val="center"/>
                </w:tcPr>
                <w:p w14:paraId="10BB74A6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870" w:type="pct"/>
                  <w:gridSpan w:val="2"/>
                  <w:vAlign w:val="center"/>
                </w:tcPr>
                <w:p w14:paraId="0276D096" w14:textId="77777777" w:rsidR="00B26F66" w:rsidRDefault="00525829">
                  <w:r>
                    <w:t>9</w:t>
                  </w:r>
                  <w:r w:rsidR="005103DB">
                    <w:t>7</w:t>
                  </w:r>
                </w:p>
              </w:tc>
            </w:tr>
            <w:tr w:rsidR="00B26F66" w14:paraId="3F96DCA0" w14:textId="77777777" w:rsidTr="00395676">
              <w:trPr>
                <w:gridAfter w:val="1"/>
                <w:wAfter w:w="326" w:type="pct"/>
                <w:trHeight w:val="24"/>
                <w:tblCellSpacing w:w="0" w:type="dxa"/>
              </w:trPr>
              <w:tc>
                <w:tcPr>
                  <w:tcW w:w="4674" w:type="pct"/>
                  <w:gridSpan w:val="3"/>
                  <w:vAlign w:val="center"/>
                </w:tcPr>
                <w:p w14:paraId="05FC6AB9" w14:textId="77777777" w:rsidR="00B26F66" w:rsidRPr="001F1042" w:rsidRDefault="00E547BF">
                  <w:r>
                    <w:pict w14:anchorId="7A09FAF7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51FE1C27" w14:textId="77777777" w:rsidTr="00395676">
              <w:trPr>
                <w:gridAfter w:val="1"/>
                <w:wAfter w:w="326" w:type="pct"/>
                <w:trHeight w:val="180"/>
                <w:tblCellSpacing w:w="0" w:type="dxa"/>
              </w:trPr>
              <w:tc>
                <w:tcPr>
                  <w:tcW w:w="804" w:type="pct"/>
                  <w:vAlign w:val="center"/>
                </w:tcPr>
                <w:p w14:paraId="199AC06B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870" w:type="pct"/>
                  <w:gridSpan w:val="2"/>
                  <w:vAlign w:val="center"/>
                </w:tcPr>
                <w:p w14:paraId="60D477A0" w14:textId="77777777" w:rsidR="00B26F66" w:rsidRPr="001F1042" w:rsidRDefault="00525829" w:rsidP="005103DB">
                  <w:r>
                    <w:t xml:space="preserve">Does ASHRAE publish design guidance </w:t>
                  </w:r>
                  <w:r w:rsidR="005103DB">
                    <w:t>or a policy on environmental tobacco smoke in buildings</w:t>
                  </w:r>
                  <w:r w:rsidR="003B1CE9" w:rsidRPr="003B1CE9">
                    <w:t xml:space="preserve">? </w:t>
                  </w:r>
                </w:p>
              </w:tc>
            </w:tr>
            <w:tr w:rsidR="00B26F66" w14:paraId="150C7491" w14:textId="77777777" w:rsidTr="00395676">
              <w:trPr>
                <w:gridAfter w:val="1"/>
                <w:wAfter w:w="326" w:type="pct"/>
                <w:trHeight w:val="24"/>
                <w:tblCellSpacing w:w="0" w:type="dxa"/>
              </w:trPr>
              <w:tc>
                <w:tcPr>
                  <w:tcW w:w="4674" w:type="pct"/>
                  <w:gridSpan w:val="3"/>
                  <w:vAlign w:val="center"/>
                </w:tcPr>
                <w:p w14:paraId="1C8AD4A5" w14:textId="77777777" w:rsidR="00B26F66" w:rsidRPr="001F1042" w:rsidRDefault="00E547BF">
                  <w:r>
                    <w:pict w14:anchorId="6BEDE1EB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76E60E5E" w14:textId="77777777" w:rsidTr="00395676">
              <w:trPr>
                <w:gridAfter w:val="1"/>
                <w:wAfter w:w="326" w:type="pct"/>
                <w:trHeight w:val="1095"/>
                <w:tblCellSpacing w:w="0" w:type="dxa"/>
              </w:trPr>
              <w:tc>
                <w:tcPr>
                  <w:tcW w:w="804" w:type="pct"/>
                  <w:vAlign w:val="center"/>
                </w:tcPr>
                <w:p w14:paraId="19E0A21D" w14:textId="77777777" w:rsidR="00B26F66" w:rsidRPr="000A20AB" w:rsidRDefault="00EE1143">
                  <w:r>
                    <w:t>A</w:t>
                  </w:r>
                  <w:r w:rsidR="00B26F66" w:rsidRPr="000A20AB">
                    <w:t xml:space="preserve">nswer </w:t>
                  </w:r>
                </w:p>
              </w:tc>
              <w:tc>
                <w:tcPr>
                  <w:tcW w:w="3870" w:type="pct"/>
                  <w:gridSpan w:val="2"/>
                  <w:vAlign w:val="center"/>
                </w:tcPr>
                <w:p w14:paraId="59B7F84B" w14:textId="77777777" w:rsidR="003620EF" w:rsidRPr="00EE1143" w:rsidRDefault="003620EF" w:rsidP="003620EF">
                  <w:r w:rsidRPr="00EE1143">
                    <w:t xml:space="preserve">ASHRAE does have an official policy on </w:t>
                  </w:r>
                  <w:r w:rsidRPr="000725B6">
                    <w:t>environmental tobacco smoke published in a</w:t>
                  </w:r>
                  <w:r w:rsidR="00EE1143" w:rsidRPr="000725B6">
                    <w:t>n</w:t>
                  </w:r>
                  <w:r w:rsidRPr="000725B6">
                    <w:t xml:space="preserve"> ASHRAE Position Document on </w:t>
                  </w:r>
                  <w:hyperlink r:id="rId5" w:history="1">
                    <w:r w:rsidR="007D7305" w:rsidRPr="000725B6">
                      <w:rPr>
                        <w:rStyle w:val="Hyperlink"/>
                      </w:rPr>
                      <w:t>Environmental Tobacco Smoke (ETS</w:t>
                    </w:r>
                  </w:hyperlink>
                  <w:r w:rsidR="007D7305">
                    <w:t>)</w:t>
                  </w:r>
                  <w:r w:rsidRPr="000725B6">
                    <w:t xml:space="preserve">. This document is available for free download from the ASHRAE </w:t>
                  </w:r>
                  <w:r w:rsidRPr="00EE1143">
                    <w:t xml:space="preserve">website. </w:t>
                  </w:r>
                </w:p>
                <w:p w14:paraId="01BD3336" w14:textId="77777777" w:rsidR="003B1CE9" w:rsidRPr="00EE1143" w:rsidRDefault="003B1CE9" w:rsidP="003B1CE9"/>
                <w:p w14:paraId="5262498D" w14:textId="4402FEF4" w:rsidR="00EE1143" w:rsidRPr="00EE1143" w:rsidRDefault="000D0193" w:rsidP="00EE1143">
                  <w:hyperlink r:id="rId6" w:history="1">
                    <w:r>
                      <w:rPr>
                        <w:rStyle w:val="Hyperlink"/>
                      </w:rPr>
                      <w:t>ASHRAE Standard 62.1-2022</w:t>
                    </w:r>
                  </w:hyperlink>
                  <w:r w:rsidR="000725B6" w:rsidRPr="00775753">
                    <w:rPr>
                      <w:color w:val="000000"/>
                    </w:rPr>
                    <w:t xml:space="preserve"> </w:t>
                  </w:r>
                  <w:r w:rsidR="00EE1143" w:rsidRPr="00EE1143">
                    <w:t xml:space="preserve">also includes some guidance on designing for ETS is buildings.  </w:t>
                  </w:r>
                </w:p>
                <w:p w14:paraId="1FAC8323" w14:textId="77777777" w:rsidR="003B1CE9" w:rsidRPr="00EE1143" w:rsidRDefault="003B1CE9" w:rsidP="003B1CE9"/>
                <w:p w14:paraId="382FA930" w14:textId="77777777" w:rsidR="00F24079" w:rsidRPr="007C5BAA" w:rsidRDefault="00EE1143" w:rsidP="00F24079">
                  <w:pPr>
                    <w:rPr>
                      <w:color w:val="000000"/>
                    </w:rPr>
                  </w:pPr>
                  <w:r w:rsidRPr="00EE1143">
                    <w:t xml:space="preserve">A number of other books and technical papers available at </w:t>
                  </w:r>
                  <w:hyperlink r:id="rId7" w:history="1">
                    <w:r w:rsidRPr="00EE1143">
                      <w:rPr>
                        <w:rStyle w:val="Hyperlink"/>
                      </w:rPr>
                      <w:t>www.ashrae.org/bookstore</w:t>
                    </w:r>
                  </w:hyperlink>
                  <w:r w:rsidRPr="00EE1143">
                    <w:t xml:space="preserve"> address design of spaces</w:t>
                  </w:r>
                  <w:r w:rsidR="00F24079">
                    <w:t xml:space="preserve"> with ETS. </w:t>
                  </w:r>
                  <w:r w:rsidR="00F24079" w:rsidRPr="00BE6C32">
                    <w:rPr>
                      <w:color w:val="000000"/>
                    </w:rPr>
                    <w:t xml:space="preserve">You may benefit from performing a keyword search </w:t>
                  </w:r>
                  <w:r w:rsidR="00D31619">
                    <w:rPr>
                      <w:color w:val="000000"/>
                    </w:rPr>
                    <w:t xml:space="preserve">ASHRAE </w:t>
                  </w:r>
                  <w:r w:rsidR="00F24079" w:rsidRPr="00BE6C32">
                    <w:rPr>
                      <w:color w:val="000000"/>
                    </w:rPr>
                    <w:t xml:space="preserve">technical papers and proceedings from ASHRAE Meetings and Conferences, magazine articles, </w:t>
                  </w:r>
                  <w:r w:rsidR="00F24079" w:rsidRPr="007C5BAA">
                    <w:rPr>
                      <w:color w:val="000000"/>
                    </w:rPr>
                    <w:t>handbook chapters, standards, and other literature published by or available through ASHRAE.  The following bookstore publications are related environmental tobacco smoke:</w:t>
                  </w:r>
                </w:p>
                <w:p w14:paraId="177A5741" w14:textId="77777777" w:rsidR="00F45CE2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8" w:history="1">
                    <w:r w:rsidR="00F45CE2" w:rsidRPr="00F45CE2">
                      <w:rPr>
                        <w:rStyle w:val="Hyperlink"/>
                      </w:rPr>
                      <w:t>IAQ Applications: Smoking in Tribal Casinos</w:t>
                    </w:r>
                  </w:hyperlink>
                </w:p>
                <w:p w14:paraId="4B7210A9" w14:textId="77777777" w:rsidR="00D31619" w:rsidRPr="007C5BAA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9" w:history="1">
                    <w:r w:rsidR="00D31619" w:rsidRPr="007C5BAA">
                      <w:rPr>
                        <w:rStyle w:val="Hyperlink"/>
                      </w:rPr>
                      <w:t>Ventilation for Environmental Tobacco Smoke - Controlling ETS Irritants Where Smoking is Allowed</w:t>
                    </w:r>
                  </w:hyperlink>
                </w:p>
                <w:p w14:paraId="71F5F823" w14:textId="77777777" w:rsidR="00D31619" w:rsidRPr="007C5BAA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0" w:history="1">
                    <w:r w:rsidR="00D31619" w:rsidRPr="007C5BAA">
                      <w:rPr>
                        <w:rStyle w:val="Hyperlink"/>
                      </w:rPr>
                      <w:t>REHVA -- Ventilation and Smoking — Reducing the Exposure to ETS in Buildings</w:t>
                    </w:r>
                  </w:hyperlink>
                </w:p>
                <w:p w14:paraId="043D4144" w14:textId="77777777" w:rsidR="00D31619" w:rsidRPr="007C5BAA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1" w:history="1">
                    <w:r w:rsidR="00D31619" w:rsidRPr="007C5BAA">
                      <w:rPr>
                        <w:rStyle w:val="Hyperlink"/>
                      </w:rPr>
                      <w:t>Designing for Smoking Rooms</w:t>
                    </w:r>
                  </w:hyperlink>
                  <w:r w:rsidR="00D31619" w:rsidRPr="007C5BAA">
                    <w:t xml:space="preserve"> ASHRAE Journal, vol. 45(7)</w:t>
                  </w:r>
                </w:p>
                <w:p w14:paraId="3CFD8C92" w14:textId="77777777" w:rsidR="00D31619" w:rsidRPr="007C5BAA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2" w:history="1">
                    <w:r w:rsidR="00D31619" w:rsidRPr="007C5BAA">
                      <w:rPr>
                        <w:rStyle w:val="Hyperlink"/>
                      </w:rPr>
                      <w:t>Design for Smoking Areas: Part 1-Fundamentals</w:t>
                    </w:r>
                  </w:hyperlink>
                  <w:r w:rsidR="00D31619" w:rsidRPr="007C5BAA">
                    <w:rPr>
                      <w:color w:val="000000"/>
                    </w:rPr>
                    <w:t xml:space="preserve"> </w:t>
                  </w:r>
                  <w:r w:rsidR="00D31619" w:rsidRPr="007C5BAA">
                    <w:t>ASHRAE Transactions, 1998, Vol. 104(2)</w:t>
                  </w:r>
                </w:p>
                <w:p w14:paraId="66067FB9" w14:textId="77777777" w:rsidR="00D31619" w:rsidRPr="007C5BAA" w:rsidRDefault="00E547BF" w:rsidP="00D3161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3" w:history="1">
                    <w:r w:rsidR="00D31619" w:rsidRPr="007C5BAA">
                      <w:rPr>
                        <w:rStyle w:val="Hyperlink"/>
                      </w:rPr>
                      <w:t>Design for Smoking Areas: Part 2-Applications</w:t>
                    </w:r>
                  </w:hyperlink>
                  <w:r w:rsidR="00D31619" w:rsidRPr="007C5BAA">
                    <w:rPr>
                      <w:color w:val="000000"/>
                    </w:rPr>
                    <w:t xml:space="preserve"> </w:t>
                  </w:r>
                  <w:r w:rsidR="00D31619" w:rsidRPr="007C5BAA">
                    <w:t>ASHRAE Transactions, 1998, Vol. 104(2)</w:t>
                  </w:r>
                </w:p>
                <w:p w14:paraId="225ECF60" w14:textId="77777777" w:rsidR="00F24079" w:rsidRPr="00395676" w:rsidRDefault="00E547BF" w:rsidP="00F2407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hyperlink r:id="rId14" w:history="1">
                    <w:r w:rsidR="00D31619" w:rsidRPr="007C5BAA">
                      <w:rPr>
                        <w:rStyle w:val="Hyperlink"/>
                      </w:rPr>
                      <w:t>ETS In Restaurants (Environmental Tobacco Smoke In Restaurants</w:t>
                    </w:r>
                  </w:hyperlink>
                  <w:r w:rsidR="000725B6" w:rsidRPr="007C5BAA">
                    <w:rPr>
                      <w:color w:val="000000"/>
                    </w:rPr>
                    <w:t xml:space="preserve">) </w:t>
                  </w:r>
                  <w:r w:rsidR="00D31619" w:rsidRPr="007C5BAA">
                    <w:t>ASHRAE Journal, vol. 44</w:t>
                  </w:r>
                  <w:r w:rsidR="00D31619" w:rsidRPr="00D31619">
                    <w:t>(10)</w:t>
                  </w:r>
                </w:p>
                <w:p w14:paraId="2A465052" w14:textId="77777777" w:rsidR="00395676" w:rsidRPr="00395676" w:rsidRDefault="00395676" w:rsidP="00F24079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</w:p>
                <w:p w14:paraId="66842756" w14:textId="77777777" w:rsidR="00395676" w:rsidRPr="00395676" w:rsidRDefault="00395676" w:rsidP="00395676">
                  <w:r>
                    <w:t xml:space="preserve">ASHRAE standards and all ASHRAE publications may be purchased and downloaded on-line at our website, </w:t>
                  </w:r>
                  <w:hyperlink r:id="rId15" w:history="1">
                    <w:hyperlink r:id="rId16" w:history="1">
                      <w:r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>
                    <w:t xml:space="preserve"> or by calling 1-800-527-4723 in the USA and Canada or 1-404-636-8400 worldwide. </w:t>
                  </w:r>
                </w:p>
              </w:tc>
            </w:tr>
            <w:tr w:rsidR="00B26F66" w14:paraId="1BE7A492" w14:textId="77777777" w:rsidTr="00395676">
              <w:trPr>
                <w:gridAfter w:val="1"/>
                <w:wAfter w:w="326" w:type="pct"/>
                <w:trHeight w:val="50"/>
                <w:tblCellSpacing w:w="0" w:type="dxa"/>
              </w:trPr>
              <w:tc>
                <w:tcPr>
                  <w:tcW w:w="4674" w:type="pct"/>
                  <w:gridSpan w:val="3"/>
                  <w:vAlign w:val="center"/>
                </w:tcPr>
                <w:p w14:paraId="72C21D36" w14:textId="77777777" w:rsidR="00B26F66" w:rsidRPr="001F1042" w:rsidRDefault="00E547BF">
                  <w:r>
                    <w:pict w14:anchorId="2000EEE2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183BF81D" w14:textId="77777777" w:rsidTr="00395676">
              <w:trPr>
                <w:gridAfter w:val="1"/>
                <w:wAfter w:w="326" w:type="pct"/>
                <w:trHeight w:val="93"/>
                <w:tblCellSpacing w:w="0" w:type="dxa"/>
              </w:trPr>
              <w:tc>
                <w:tcPr>
                  <w:tcW w:w="804" w:type="pct"/>
                  <w:vAlign w:val="center"/>
                </w:tcPr>
                <w:p w14:paraId="20A12392" w14:textId="77777777" w:rsidR="00B26F66" w:rsidRPr="000725B6" w:rsidRDefault="00B26F66">
                  <w:r w:rsidRPr="000725B6">
                    <w:t xml:space="preserve">ASHRAE Pubs </w:t>
                  </w:r>
                </w:p>
              </w:tc>
              <w:tc>
                <w:tcPr>
                  <w:tcW w:w="3870" w:type="pct"/>
                  <w:gridSpan w:val="2"/>
                  <w:vAlign w:val="center"/>
                </w:tcPr>
                <w:p w14:paraId="60DE6A29" w14:textId="77777777" w:rsidR="003B1CE9" w:rsidRPr="000725B6" w:rsidRDefault="00357E98">
                  <w:r w:rsidRPr="000725B6">
                    <w:t xml:space="preserve">ASHRAE Position Document on </w:t>
                  </w:r>
                  <w:hyperlink r:id="rId17" w:history="1">
                    <w:r w:rsidR="00F45CE2" w:rsidRPr="000725B6">
                      <w:rPr>
                        <w:rStyle w:val="Hyperlink"/>
                      </w:rPr>
                      <w:t>Environmental Tobacco Smoke (ETS</w:t>
                    </w:r>
                  </w:hyperlink>
                  <w:r w:rsidR="00F45CE2">
                    <w:t>)</w:t>
                  </w:r>
                </w:p>
                <w:p w14:paraId="4F9B83BB" w14:textId="77777777" w:rsidR="007B5F25" w:rsidRPr="000725B6" w:rsidRDefault="007B5F25">
                  <w:pPr>
                    <w:rPr>
                      <w:i/>
                    </w:rPr>
                  </w:pPr>
                </w:p>
                <w:p w14:paraId="1C1978CC" w14:textId="7ED877D2" w:rsidR="003B1CE9" w:rsidRPr="000725B6" w:rsidRDefault="000D0193" w:rsidP="0029199C">
                  <w:pPr>
                    <w:rPr>
                      <w:color w:val="000000"/>
                    </w:rPr>
                  </w:pPr>
                  <w:hyperlink r:id="rId18" w:history="1">
                    <w:r>
                      <w:rPr>
                        <w:rStyle w:val="Hyperlink"/>
                      </w:rPr>
                      <w:t>ASHRAE Standard 62.1-2022</w:t>
                    </w:r>
                  </w:hyperlink>
                  <w:r w:rsidR="000725B6" w:rsidRPr="000725B6">
                    <w:rPr>
                      <w:color w:val="000000"/>
                    </w:rPr>
                    <w:t xml:space="preserve"> plus </w:t>
                  </w:r>
                  <w:hyperlink r:id="rId19" w:history="1">
                    <w:r w:rsidR="000725B6" w:rsidRPr="000725B6">
                      <w:rPr>
                        <w:rStyle w:val="Hyperlink"/>
                      </w:rPr>
                      <w:t>ASHRAE BOD approved addenda</w:t>
                    </w:r>
                  </w:hyperlink>
                  <w:r w:rsidR="000725B6" w:rsidRPr="000725B6">
                    <w:rPr>
                      <w:color w:val="000000"/>
                    </w:rPr>
                    <w:t xml:space="preserve">. </w:t>
                  </w:r>
                </w:p>
              </w:tc>
            </w:tr>
            <w:tr w:rsidR="00B26F66" w14:paraId="4DB5B2F1" w14:textId="77777777" w:rsidTr="00395676">
              <w:trPr>
                <w:gridAfter w:val="1"/>
                <w:wAfter w:w="326" w:type="pct"/>
                <w:trHeight w:val="47"/>
                <w:tblCellSpacing w:w="0" w:type="dxa"/>
              </w:trPr>
              <w:tc>
                <w:tcPr>
                  <w:tcW w:w="4674" w:type="pct"/>
                  <w:gridSpan w:val="3"/>
                  <w:vAlign w:val="center"/>
                </w:tcPr>
                <w:p w14:paraId="4FAA2762" w14:textId="77777777" w:rsidR="00B26F66" w:rsidRPr="001F1042" w:rsidRDefault="00E547BF">
                  <w:r>
                    <w:pict w14:anchorId="5ED906FA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2DEC5C1" w14:textId="77777777" w:rsidTr="00395676">
              <w:trPr>
                <w:gridAfter w:val="1"/>
                <w:wAfter w:w="326" w:type="pct"/>
                <w:trHeight w:val="93"/>
                <w:tblCellSpacing w:w="0" w:type="dxa"/>
              </w:trPr>
              <w:tc>
                <w:tcPr>
                  <w:tcW w:w="804" w:type="pct"/>
                  <w:vAlign w:val="center"/>
                </w:tcPr>
                <w:p w14:paraId="4E9EA74F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870" w:type="pct"/>
                  <w:gridSpan w:val="2"/>
                  <w:vAlign w:val="center"/>
                </w:tcPr>
                <w:p w14:paraId="378560C9" w14:textId="77777777" w:rsidR="00B26F66" w:rsidRPr="001F1042" w:rsidRDefault="00EE1143" w:rsidP="007B5F25">
                  <w:r>
                    <w:t>environmental tobacco smoke, smoking</w:t>
                  </w:r>
                </w:p>
              </w:tc>
            </w:tr>
            <w:tr w:rsidR="00B26F66" w14:paraId="6CE7C37D" w14:textId="77777777" w:rsidTr="00395676">
              <w:trPr>
                <w:trHeight w:val="47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7554293" w14:textId="77777777" w:rsidR="00B26F66" w:rsidRDefault="00E547BF">
                  <w:r>
                    <w:pict w14:anchorId="46ED8B79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16388452" w14:textId="77777777" w:rsidTr="00395676">
              <w:trPr>
                <w:gridAfter w:val="2"/>
                <w:wAfter w:w="977" w:type="pct"/>
                <w:trHeight w:val="501"/>
                <w:tblCellSpacing w:w="0" w:type="dxa"/>
              </w:trPr>
              <w:tc>
                <w:tcPr>
                  <w:tcW w:w="4023" w:type="pct"/>
                  <w:gridSpan w:val="2"/>
                  <w:vAlign w:val="center"/>
                </w:tcPr>
                <w:tbl>
                  <w:tblPr>
                    <w:tblW w:w="76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6"/>
                    <w:gridCol w:w="4199"/>
                    <w:gridCol w:w="2939"/>
                  </w:tblGrid>
                  <w:tr w:rsidR="00B26F66" w14:paraId="62AFF83B" w14:textId="77777777" w:rsidTr="00395676">
                    <w:trPr>
                      <w:trHeight w:val="74"/>
                      <w:jc w:val="center"/>
                    </w:trPr>
                    <w:tc>
                      <w:tcPr>
                        <w:tcW w:w="536" w:type="dxa"/>
                      </w:tcPr>
                      <w:p w14:paraId="12437432" w14:textId="77777777" w:rsidR="00B26F66" w:rsidRDefault="00B26F66"/>
                    </w:tc>
                    <w:tc>
                      <w:tcPr>
                        <w:tcW w:w="4199" w:type="dxa"/>
                      </w:tcPr>
                      <w:p w14:paraId="40CD574A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939" w:type="dxa"/>
                      </w:tcPr>
                      <w:p w14:paraId="209A8368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0725B6" w14:paraId="177228A9" w14:textId="77777777" w:rsidTr="00395676">
                    <w:trPr>
                      <w:trHeight w:val="68"/>
                      <w:jc w:val="center"/>
                    </w:trPr>
                    <w:tc>
                      <w:tcPr>
                        <w:tcW w:w="536" w:type="dxa"/>
                      </w:tcPr>
                      <w:p w14:paraId="13D2EC44" w14:textId="77777777" w:rsidR="000725B6" w:rsidRDefault="000725B6">
                        <w:r>
                          <w:t>1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1DBEB7B5" w14:textId="77777777" w:rsidR="000725B6" w:rsidRPr="002C6C61" w:rsidRDefault="00E547BF" w:rsidP="000725B6">
                        <w:pPr>
                          <w:rPr>
                            <w:highlight w:val="yellow"/>
                          </w:rPr>
                        </w:pPr>
                        <w:hyperlink r:id="rId20" w:history="1">
                          <w:r w:rsidR="007D7305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939" w:type="dxa"/>
                      </w:tcPr>
                      <w:p w14:paraId="389A6DC6" w14:textId="77777777" w:rsidR="000725B6" w:rsidRDefault="000725B6"/>
                    </w:tc>
                  </w:tr>
                  <w:tr w:rsidR="000725B6" w14:paraId="4CEFBD3D" w14:textId="77777777" w:rsidTr="00395676">
                    <w:trPr>
                      <w:trHeight w:val="68"/>
                      <w:jc w:val="center"/>
                    </w:trPr>
                    <w:tc>
                      <w:tcPr>
                        <w:tcW w:w="536" w:type="dxa"/>
                      </w:tcPr>
                      <w:p w14:paraId="118EAC2C" w14:textId="77777777" w:rsidR="000725B6" w:rsidRDefault="000725B6">
                        <w:r>
                          <w:t>2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296FC01E" w14:textId="77777777" w:rsidR="000725B6" w:rsidRPr="002C6C61" w:rsidRDefault="00E547BF" w:rsidP="000725B6">
                        <w:pPr>
                          <w:rPr>
                            <w:highlight w:val="yellow"/>
                          </w:rPr>
                        </w:pPr>
                        <w:hyperlink r:id="rId21" w:history="1">
                          <w:r w:rsidR="000725B6" w:rsidRPr="00775753">
                            <w:rPr>
                              <w:rStyle w:val="Hyperlink"/>
                            </w:rPr>
                            <w:t>EH</w:t>
                          </w:r>
                          <w:r w:rsidR="000725B6" w:rsidRPr="00775753">
                            <w:rPr>
                              <w:rStyle w:val="Hyperlink"/>
                            </w:rPr>
                            <w:t>C</w:t>
                          </w:r>
                        </w:hyperlink>
                        <w:hyperlink r:id="rId22" w:history="1"/>
                      </w:p>
                    </w:tc>
                    <w:tc>
                      <w:tcPr>
                        <w:tcW w:w="2939" w:type="dxa"/>
                      </w:tcPr>
                      <w:p w14:paraId="3F2A1837" w14:textId="77777777" w:rsidR="000725B6" w:rsidRDefault="000725B6"/>
                    </w:tc>
                  </w:tr>
                  <w:tr w:rsidR="00B26F66" w14:paraId="1429D3A3" w14:textId="77777777" w:rsidTr="00395676">
                    <w:trPr>
                      <w:trHeight w:val="68"/>
                      <w:jc w:val="center"/>
                    </w:trPr>
                    <w:tc>
                      <w:tcPr>
                        <w:tcW w:w="536" w:type="dxa"/>
                      </w:tcPr>
                      <w:p w14:paraId="243B9D09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1E042DE0" w14:textId="77777777" w:rsidR="00B26F66" w:rsidRDefault="00B26F66"/>
                    </w:tc>
                    <w:tc>
                      <w:tcPr>
                        <w:tcW w:w="2939" w:type="dxa"/>
                      </w:tcPr>
                      <w:p w14:paraId="2160A86B" w14:textId="77777777" w:rsidR="00B26F66" w:rsidRDefault="00B26F66"/>
                    </w:tc>
                  </w:tr>
                  <w:tr w:rsidR="00B26F66" w14:paraId="3C3909A2" w14:textId="77777777" w:rsidTr="00395676">
                    <w:trPr>
                      <w:trHeight w:val="74"/>
                      <w:jc w:val="center"/>
                    </w:trPr>
                    <w:tc>
                      <w:tcPr>
                        <w:tcW w:w="536" w:type="dxa"/>
                      </w:tcPr>
                      <w:p w14:paraId="23A8C1A0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1C18CD73" w14:textId="77777777" w:rsidR="00B26F66" w:rsidRDefault="00B26F66"/>
                    </w:tc>
                    <w:tc>
                      <w:tcPr>
                        <w:tcW w:w="2939" w:type="dxa"/>
                      </w:tcPr>
                      <w:p w14:paraId="7E8E82B3" w14:textId="77777777" w:rsidR="00B26F66" w:rsidRDefault="00B26F66"/>
                    </w:tc>
                  </w:tr>
                </w:tbl>
                <w:p w14:paraId="73336863" w14:textId="77777777" w:rsidR="00B26F66" w:rsidRDefault="00B26F66"/>
              </w:tc>
            </w:tr>
          </w:tbl>
          <w:p w14:paraId="1138F610" w14:textId="77777777" w:rsidR="00B26F66" w:rsidRDefault="00B26F66"/>
        </w:tc>
        <w:tc>
          <w:tcPr>
            <w:tcW w:w="0" w:type="auto"/>
            <w:vAlign w:val="center"/>
          </w:tcPr>
          <w:p w14:paraId="51448719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6E71EE9" w14:textId="77777777" w:rsidR="0029199C" w:rsidRDefault="0029199C" w:rsidP="0029199C">
      <w:pPr>
        <w:rPr>
          <w:rFonts w:ascii="Arial" w:hAnsi="Arial" w:cs="Arial"/>
        </w:rPr>
      </w:pPr>
    </w:p>
    <w:sectPr w:rsidR="0029199C" w:rsidSect="0029199C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5F03"/>
    <w:multiLevelType w:val="hybridMultilevel"/>
    <w:tmpl w:val="9C4A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2688">
    <w:abstractNumId w:val="1"/>
  </w:num>
  <w:num w:numId="2" w16cid:durableId="2256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725B6"/>
    <w:rsid w:val="00093487"/>
    <w:rsid w:val="000A20AB"/>
    <w:rsid w:val="000A4C5E"/>
    <w:rsid w:val="000B1E64"/>
    <w:rsid w:val="000C17CC"/>
    <w:rsid w:val="000C3D1F"/>
    <w:rsid w:val="000C7C12"/>
    <w:rsid w:val="000D0193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9199C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178F"/>
    <w:rsid w:val="00343F60"/>
    <w:rsid w:val="0034419D"/>
    <w:rsid w:val="003478DA"/>
    <w:rsid w:val="00354C54"/>
    <w:rsid w:val="00354FC9"/>
    <w:rsid w:val="00356BED"/>
    <w:rsid w:val="00357E79"/>
    <w:rsid w:val="00357E98"/>
    <w:rsid w:val="003620EF"/>
    <w:rsid w:val="003857A7"/>
    <w:rsid w:val="00395676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103DB"/>
    <w:rsid w:val="00525829"/>
    <w:rsid w:val="00526CA2"/>
    <w:rsid w:val="00531976"/>
    <w:rsid w:val="00536422"/>
    <w:rsid w:val="005373C0"/>
    <w:rsid w:val="00545E35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1532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5F25"/>
    <w:rsid w:val="007C5BAA"/>
    <w:rsid w:val="007C7077"/>
    <w:rsid w:val="007D36C5"/>
    <w:rsid w:val="007D4461"/>
    <w:rsid w:val="007D7305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731E6"/>
    <w:rsid w:val="00A83D39"/>
    <w:rsid w:val="00AC6438"/>
    <w:rsid w:val="00AF77C5"/>
    <w:rsid w:val="00B02942"/>
    <w:rsid w:val="00B03616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0381D"/>
    <w:rsid w:val="00D1154F"/>
    <w:rsid w:val="00D30DFC"/>
    <w:rsid w:val="00D31619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47BF"/>
    <w:rsid w:val="00E57ACB"/>
    <w:rsid w:val="00E62952"/>
    <w:rsid w:val="00E83E50"/>
    <w:rsid w:val="00E86038"/>
    <w:rsid w:val="00EA3DD3"/>
    <w:rsid w:val="00EB72AB"/>
    <w:rsid w:val="00EB7677"/>
    <w:rsid w:val="00EE1143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24079"/>
    <w:rsid w:val="00F455AD"/>
    <w:rsid w:val="00F45CE2"/>
    <w:rsid w:val="00F504E5"/>
    <w:rsid w:val="00F544EB"/>
    <w:rsid w:val="00F62AEB"/>
    <w:rsid w:val="00F64BF0"/>
    <w:rsid w:val="00F76334"/>
    <w:rsid w:val="00F87B2D"/>
    <w:rsid w:val="00FA5F51"/>
    <w:rsid w:val="00FB3E5A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2EF7FDE"/>
  <w15:chartTrackingRefBased/>
  <w15:docId w15:val="{A61CDE0C-0B59-4DE4-96E0-F54263C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395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676"/>
  </w:style>
  <w:style w:type="character" w:styleId="CommentReference">
    <w:name w:val="annotation reference"/>
    <w:basedOn w:val="DefaultParagraphFont"/>
    <w:unhideWhenUsed/>
    <w:rsid w:val="00395676"/>
    <w:rPr>
      <w:sz w:val="16"/>
      <w:szCs w:val="16"/>
    </w:rPr>
  </w:style>
  <w:style w:type="paragraph" w:styleId="BalloonText">
    <w:name w:val="Balloon Text"/>
    <w:basedOn w:val="Normal"/>
    <w:link w:val="BalloonTextChar"/>
    <w:rsid w:val="0039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street.com/ashrae/products/1858365" TargetMode="External"/><Relationship Id="rId13" Type="http://schemas.openxmlformats.org/officeDocument/2006/relationships/hyperlink" Target="http://www.techstreet.com/cgi-bin/detail?product_id=1711158" TargetMode="External"/><Relationship Id="rId18" Type="http://schemas.openxmlformats.org/officeDocument/2006/relationships/hyperlink" Target="https://www.techstreet.com/ashrae/standards/ashrae-62-1-2022?product_id=2501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hrae.org/communities/committees/standing-committees/environmental-health-committee-ehc" TargetMode="External"/><Relationship Id="rId7" Type="http://schemas.openxmlformats.org/officeDocument/2006/relationships/hyperlink" Target="http://www.ashrae.org/bookstore" TargetMode="External"/><Relationship Id="rId12" Type="http://schemas.openxmlformats.org/officeDocument/2006/relationships/hyperlink" Target="http://www.techstreet.com/cgi-bin/detail?product_id=1711157" TargetMode="External"/><Relationship Id="rId17" Type="http://schemas.openxmlformats.org/officeDocument/2006/relationships/hyperlink" Target="https://www.ashrae.org/about/position-documents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Ashrae100\technology$\Tech%20Srvs\Steve%20Winter%202010\FAQs\April%202010\www.ashrae.org" TargetMode="External"/><Relationship Id="rId20" Type="http://schemas.openxmlformats.org/officeDocument/2006/relationships/hyperlink" Target="http://tc0403.ashraet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ashrae-62-1-2022?product_id=2501063" TargetMode="External"/><Relationship Id="rId11" Type="http://schemas.openxmlformats.org/officeDocument/2006/relationships/hyperlink" Target="http://www.techstreet.com/cgi-bin/detail?product_id=17163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shrae.org/about/position-documents" TargetMode="External"/><Relationship Id="rId15" Type="http://schemas.openxmlformats.org/officeDocument/2006/relationships/hyperlink" Target="file:///\\Ashrae100\technology$\Tech%20Srvs\Steve%20Winter%202010\FAQs\April%202010\www.ashrae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chstreet.com/cgi-bin/detail?product_id=1703751" TargetMode="External"/><Relationship Id="rId19" Type="http://schemas.openxmlformats.org/officeDocument/2006/relationships/hyperlink" Target="http://www.ashrae.org/standards-research--technology/standards-adde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hstreet.com/cgi-bin/detail?product_id=1703848" TargetMode="External"/><Relationship Id="rId14" Type="http://schemas.openxmlformats.org/officeDocument/2006/relationships/hyperlink" Target="http://www.techstreet.com/cgi-bin/detail?product_id=1711218" TargetMode="External"/><Relationship Id="rId22" Type="http://schemas.openxmlformats.org/officeDocument/2006/relationships/hyperlink" Target="http://www.ashrae.org/members/page/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3338</CharactersWithSpaces>
  <SharedDoc>false</SharedDoc>
  <HLinks>
    <vt:vector size="102" baseType="variant">
      <vt:variant>
        <vt:i4>7077920</vt:i4>
      </vt:variant>
      <vt:variant>
        <vt:i4>48</vt:i4>
      </vt:variant>
      <vt:variant>
        <vt:i4>0</vt:i4>
      </vt:variant>
      <vt:variant>
        <vt:i4>5</vt:i4>
      </vt:variant>
      <vt:variant>
        <vt:lpwstr>http://www.ashrae.org/members/page/321</vt:lpwstr>
      </vt:variant>
      <vt:variant>
        <vt:lpwstr/>
      </vt:variant>
      <vt:variant>
        <vt:i4>7602291</vt:i4>
      </vt:variant>
      <vt:variant>
        <vt:i4>45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3211326</vt:i4>
      </vt:variant>
      <vt:variant>
        <vt:i4>42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3932271</vt:i4>
      </vt:variant>
      <vt:variant>
        <vt:i4>39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36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4915249</vt:i4>
      </vt:variant>
      <vt:variant>
        <vt:i4>33</vt:i4>
      </vt:variant>
      <vt:variant>
        <vt:i4>0</vt:i4>
      </vt:variant>
      <vt:variant>
        <vt:i4>5</vt:i4>
      </vt:variant>
      <vt:variant>
        <vt:lpwstr>http://www.ashrae.org/File Library/docLib/About Us/PositionDocuments/ASHRAE_PD_Environmental_Tobacco_Smoke_2010.pdf</vt:lpwstr>
      </vt:variant>
      <vt:variant>
        <vt:lpwstr/>
      </vt:variant>
      <vt:variant>
        <vt:i4>3997756</vt:i4>
      </vt:variant>
      <vt:variant>
        <vt:i4>29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27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3080202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http://www.techstreet.com/cgi-bin/detail?product_id=1711218</vt:lpwstr>
      </vt:variant>
      <vt:variant>
        <vt:lpwstr/>
      </vt:variant>
      <vt:variant>
        <vt:i4>2818057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http://www.techstreet.com/cgi-bin/detail?product_id=1711158</vt:lpwstr>
      </vt:variant>
      <vt:variant>
        <vt:lpwstr/>
      </vt:variant>
      <vt:variant>
        <vt:i4>2818057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http://www.techstreet.com/cgi-bin/detail?product_id=1711157</vt:lpwstr>
      </vt:variant>
      <vt:variant>
        <vt:lpwstr/>
      </vt:variant>
      <vt:variant>
        <vt:i4>2097163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http://www.techstreet.com/cgi-bin/detail?product_id=1716395</vt:lpwstr>
      </vt:variant>
      <vt:variant>
        <vt:lpwstr/>
      </vt:variant>
      <vt:variant>
        <vt:i4>2686990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http://www.techstreet.com/cgi-bin/detail?product_id=1703751</vt:lpwstr>
      </vt:variant>
      <vt:variant>
        <vt:lpwstr/>
      </vt:variant>
      <vt:variant>
        <vt:i4>2621441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http://www.techstreet.com/cgi-bin/detail?product_id=1703848</vt:lpwstr>
      </vt:variant>
      <vt:variant>
        <vt:lpwstr/>
      </vt:variant>
      <vt:variant>
        <vt:i4>3276845</vt:i4>
      </vt:variant>
      <vt:variant>
        <vt:i4>6</vt:i4>
      </vt:variant>
      <vt:variant>
        <vt:i4>0</vt:i4>
      </vt:variant>
      <vt:variant>
        <vt:i4>5</vt:i4>
      </vt:variant>
      <vt:variant>
        <vt:lpwstr>http://www.ashrae.org/bookstore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http://www.ashrae.org/File Library/docLib/About Us/PositionDocuments/ASHRAE_PD_Environmental_Tobacco_Smoke_2010.pdf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Steve Hammerling</cp:lastModifiedBy>
  <cp:revision>5</cp:revision>
  <cp:lastPrinted>2014-05-27T13:03:00Z</cp:lastPrinted>
  <dcterms:created xsi:type="dcterms:W3CDTF">2014-05-27T13:03:00Z</dcterms:created>
  <dcterms:modified xsi:type="dcterms:W3CDTF">2023-10-21T15:06:00Z</dcterms:modified>
</cp:coreProperties>
</file>