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9" w:type="dxa"/>
        <w:tblCellSpacing w:w="0" w:type="dxa"/>
        <w:tblCellMar>
          <w:left w:w="0" w:type="dxa"/>
          <w:right w:w="0" w:type="dxa"/>
        </w:tblCellMar>
        <w:tblLook w:val="0000" w:firstRow="0" w:lastRow="0" w:firstColumn="0" w:lastColumn="0" w:noHBand="0" w:noVBand="0"/>
      </w:tblPr>
      <w:tblGrid>
        <w:gridCol w:w="10755"/>
        <w:gridCol w:w="6"/>
      </w:tblGrid>
      <w:tr w:rsidR="00B26F66" w14:paraId="6A9CEAC3" w14:textId="77777777" w:rsidTr="00C20745">
        <w:trPr>
          <w:tblCellSpacing w:w="0" w:type="dxa"/>
        </w:trPr>
        <w:tc>
          <w:tcPr>
            <w:tcW w:w="0" w:type="auto"/>
            <w:gridSpan w:val="2"/>
            <w:vAlign w:val="center"/>
          </w:tcPr>
          <w:p w14:paraId="3EF225B2" w14:textId="77777777" w:rsidR="00B26F66" w:rsidRDefault="00B26F66" w:rsidP="003A3339">
            <w:pPr>
              <w:pStyle w:val="Heading3"/>
            </w:pPr>
            <w:r>
              <w:t>ASHRAE Technical FAQ</w:t>
            </w:r>
          </w:p>
        </w:tc>
      </w:tr>
      <w:tr w:rsidR="00B26F66" w14:paraId="6EBD4B89" w14:textId="77777777" w:rsidTr="00C20745">
        <w:trPr>
          <w:trHeight w:val="8262"/>
          <w:tblCellSpacing w:w="0" w:type="dxa"/>
        </w:trPr>
        <w:tc>
          <w:tcPr>
            <w:tcW w:w="0" w:type="auto"/>
            <w:vAlign w:val="center"/>
          </w:tcPr>
          <w:tbl>
            <w:tblPr>
              <w:tblW w:w="10755" w:type="dxa"/>
              <w:tblCellSpacing w:w="0" w:type="dxa"/>
              <w:tblCellMar>
                <w:top w:w="75" w:type="dxa"/>
                <w:left w:w="75" w:type="dxa"/>
                <w:bottom w:w="75" w:type="dxa"/>
                <w:right w:w="75" w:type="dxa"/>
              </w:tblCellMar>
              <w:tblLook w:val="0000" w:firstRow="0" w:lastRow="0" w:firstColumn="0" w:lastColumn="0" w:noHBand="0" w:noVBand="0"/>
            </w:tblPr>
            <w:tblGrid>
              <w:gridCol w:w="1258"/>
              <w:gridCol w:w="7320"/>
              <w:gridCol w:w="1435"/>
              <w:gridCol w:w="742"/>
            </w:tblGrid>
            <w:tr w:rsidR="00B26F66" w14:paraId="6149CCBF" w14:textId="77777777" w:rsidTr="00617451">
              <w:trPr>
                <w:trHeight w:val="102"/>
                <w:tblCellSpacing w:w="0" w:type="dxa"/>
              </w:trPr>
              <w:tc>
                <w:tcPr>
                  <w:tcW w:w="5000" w:type="pct"/>
                  <w:gridSpan w:val="4"/>
                  <w:vAlign w:val="center"/>
                </w:tcPr>
                <w:p w14:paraId="20E73786" w14:textId="77777777" w:rsidR="00B26F66" w:rsidRDefault="00C20745">
                  <w:r>
                    <w:br w:type="page"/>
                  </w:r>
                  <w:r w:rsidR="00935C17">
                    <w:pict w14:anchorId="16DF4200">
                      <v:rect id="_x0000_i1025" style="width:465.85pt;height:3pt" o:hrpct="936" o:hrstd="t" o:hr="t" fillcolor="#aca899" stroked="f"/>
                    </w:pict>
                  </w:r>
                </w:p>
              </w:tc>
            </w:tr>
            <w:tr w:rsidR="00B26F66" w14:paraId="3D356556" w14:textId="77777777" w:rsidTr="00617451">
              <w:trPr>
                <w:gridAfter w:val="1"/>
                <w:wAfter w:w="345" w:type="pct"/>
                <w:trHeight w:val="102"/>
                <w:tblCellSpacing w:w="0" w:type="dxa"/>
              </w:trPr>
              <w:tc>
                <w:tcPr>
                  <w:tcW w:w="585" w:type="pct"/>
                  <w:vAlign w:val="center"/>
                </w:tcPr>
                <w:p w14:paraId="674096A6" w14:textId="77777777" w:rsidR="00B26F66" w:rsidRDefault="00B26F66">
                  <w:r>
                    <w:t xml:space="preserve">ID </w:t>
                  </w:r>
                </w:p>
              </w:tc>
              <w:tc>
                <w:tcPr>
                  <w:tcW w:w="4069" w:type="pct"/>
                  <w:gridSpan w:val="2"/>
                  <w:vAlign w:val="center"/>
                </w:tcPr>
                <w:p w14:paraId="33E04149" w14:textId="77777777" w:rsidR="00B26F66" w:rsidRDefault="006F504D" w:rsidP="002B2D7E">
                  <w:r>
                    <w:t>105</w:t>
                  </w:r>
                </w:p>
              </w:tc>
            </w:tr>
            <w:tr w:rsidR="00B26F66" w14:paraId="1A487510" w14:textId="77777777" w:rsidTr="00617451">
              <w:trPr>
                <w:gridAfter w:val="1"/>
                <w:wAfter w:w="345" w:type="pct"/>
                <w:trHeight w:val="102"/>
                <w:tblCellSpacing w:w="0" w:type="dxa"/>
              </w:trPr>
              <w:tc>
                <w:tcPr>
                  <w:tcW w:w="4655" w:type="pct"/>
                  <w:gridSpan w:val="3"/>
                  <w:vAlign w:val="center"/>
                </w:tcPr>
                <w:p w14:paraId="447D6996" w14:textId="77777777" w:rsidR="00B26F66" w:rsidRPr="001F1042" w:rsidRDefault="00935C17">
                  <w:r>
                    <w:pict w14:anchorId="0DF3B02D">
                      <v:rect id="_x0000_i1026" style="width:0;height:1.5pt" o:hralign="center" o:hrstd="t" o:hr="t" fillcolor="#aca899" stroked="f"/>
                    </w:pict>
                  </w:r>
                </w:p>
              </w:tc>
            </w:tr>
            <w:tr w:rsidR="00B26F66" w14:paraId="397326B4" w14:textId="77777777" w:rsidTr="00617451">
              <w:trPr>
                <w:gridAfter w:val="1"/>
                <w:wAfter w:w="345" w:type="pct"/>
                <w:trHeight w:val="699"/>
                <w:tblCellSpacing w:w="0" w:type="dxa"/>
              </w:trPr>
              <w:tc>
                <w:tcPr>
                  <w:tcW w:w="585" w:type="pct"/>
                  <w:vAlign w:val="center"/>
                </w:tcPr>
                <w:p w14:paraId="68BFAAEC" w14:textId="77777777" w:rsidR="00B26F66" w:rsidRPr="001F1042" w:rsidRDefault="00B26F66">
                  <w:r w:rsidRPr="001F1042">
                    <w:t xml:space="preserve">Question </w:t>
                  </w:r>
                </w:p>
              </w:tc>
              <w:tc>
                <w:tcPr>
                  <w:tcW w:w="4069" w:type="pct"/>
                  <w:gridSpan w:val="2"/>
                  <w:vAlign w:val="center"/>
                </w:tcPr>
                <w:p w14:paraId="1C0CFDD9" w14:textId="77777777" w:rsidR="00B26F66" w:rsidRPr="001F1042" w:rsidRDefault="006F504D" w:rsidP="006F504D">
                  <w:r>
                    <w:t xml:space="preserve">Where can I find energy benchmark data to compare my commercial or institutional building? </w:t>
                  </w:r>
                  <w:r w:rsidR="00417861">
                    <w:t xml:space="preserve"> </w:t>
                  </w:r>
                </w:p>
              </w:tc>
            </w:tr>
            <w:tr w:rsidR="00B26F66" w14:paraId="598FCF07" w14:textId="77777777" w:rsidTr="00617451">
              <w:trPr>
                <w:gridAfter w:val="1"/>
                <w:wAfter w:w="345" w:type="pct"/>
                <w:trHeight w:val="102"/>
                <w:tblCellSpacing w:w="0" w:type="dxa"/>
              </w:trPr>
              <w:tc>
                <w:tcPr>
                  <w:tcW w:w="4655" w:type="pct"/>
                  <w:gridSpan w:val="3"/>
                  <w:vAlign w:val="center"/>
                </w:tcPr>
                <w:p w14:paraId="11A09C10" w14:textId="77777777" w:rsidR="00B26F66" w:rsidRPr="001F1042" w:rsidRDefault="00935C17">
                  <w:r>
                    <w:pict w14:anchorId="58BA6E56">
                      <v:rect id="_x0000_i1027" style="width:0;height:1.5pt" o:hralign="center" o:hrstd="t" o:hr="t" fillcolor="#aca899" stroked="f"/>
                    </w:pict>
                  </w:r>
                </w:p>
              </w:tc>
            </w:tr>
            <w:tr w:rsidR="00B26F66" w14:paraId="1982DC91" w14:textId="77777777" w:rsidTr="00617451">
              <w:trPr>
                <w:gridAfter w:val="1"/>
                <w:wAfter w:w="345" w:type="pct"/>
                <w:trHeight w:val="2661"/>
                <w:tblCellSpacing w:w="0" w:type="dxa"/>
              </w:trPr>
              <w:tc>
                <w:tcPr>
                  <w:tcW w:w="585" w:type="pct"/>
                  <w:vAlign w:val="center"/>
                </w:tcPr>
                <w:p w14:paraId="7D0628BD" w14:textId="77777777" w:rsidR="00B26F66" w:rsidRPr="00617451" w:rsidRDefault="00B26F66">
                  <w:pPr>
                    <w:rPr>
                      <w:color w:val="000000"/>
                    </w:rPr>
                  </w:pPr>
                  <w:r w:rsidRPr="00617451">
                    <w:rPr>
                      <w:color w:val="000000"/>
                    </w:rPr>
                    <w:t xml:space="preserve">Answer </w:t>
                  </w:r>
                </w:p>
              </w:tc>
              <w:tc>
                <w:tcPr>
                  <w:tcW w:w="4069" w:type="pct"/>
                  <w:gridSpan w:val="2"/>
                  <w:vAlign w:val="center"/>
                </w:tcPr>
                <w:p w14:paraId="7055DBC2" w14:textId="77777777" w:rsidR="00617451" w:rsidRPr="00617451" w:rsidRDefault="00617451" w:rsidP="00617451">
                  <w:pPr>
                    <w:pStyle w:val="ListParagraph"/>
                    <w:numPr>
                      <w:ilvl w:val="0"/>
                      <w:numId w:val="3"/>
                    </w:numPr>
                    <w:spacing w:after="0" w:line="240" w:lineRule="auto"/>
                    <w:ind w:left="389" w:hanging="187"/>
                    <w:rPr>
                      <w:rFonts w:ascii="Times New Roman" w:hAnsi="Times New Roman"/>
                      <w:sz w:val="24"/>
                      <w:szCs w:val="24"/>
                    </w:rPr>
                  </w:pPr>
                  <w:r w:rsidRPr="00617451">
                    <w:rPr>
                      <w:rFonts w:ascii="Times New Roman" w:hAnsi="Times New Roman"/>
                      <w:sz w:val="24"/>
                      <w:szCs w:val="24"/>
                    </w:rPr>
                    <w:t xml:space="preserve">The ASHRAE AEDG on existing commercial buildings, Vol. 2, published 2011, </w:t>
                  </w:r>
                  <w:hyperlink r:id="rId5" w:history="1">
                    <w:r w:rsidRPr="00617451">
                      <w:rPr>
                        <w:rStyle w:val="Hyperlink"/>
                        <w:rFonts w:ascii="Times New Roman" w:hAnsi="Times New Roman"/>
                        <w:sz w:val="24"/>
                        <w:szCs w:val="24"/>
                      </w:rPr>
                      <w:t>Energy Efficiency Guide for E</w:t>
                    </w:r>
                    <w:r w:rsidRPr="00617451">
                      <w:rPr>
                        <w:rStyle w:val="Hyperlink"/>
                        <w:rFonts w:ascii="Times New Roman" w:hAnsi="Times New Roman"/>
                        <w:sz w:val="24"/>
                        <w:szCs w:val="24"/>
                      </w:rPr>
                      <w:t>xisting Commercial Buildings: Technical Implementation</w:t>
                    </w:r>
                  </w:hyperlink>
                  <w:r w:rsidRPr="00617451">
                    <w:rPr>
                      <w:rStyle w:val="Hyperlink"/>
                      <w:bCs/>
                      <w:u w:val="none"/>
                    </w:rPr>
                    <w:t xml:space="preserve"> </w:t>
                  </w:r>
                  <w:r w:rsidRPr="00617451">
                    <w:rPr>
                      <w:rFonts w:ascii="Times New Roman" w:hAnsi="Times New Roman"/>
                      <w:sz w:val="24"/>
                      <w:szCs w:val="24"/>
                    </w:rPr>
                    <w:t xml:space="preserve">has the most current energy benchmarking data. </w:t>
                  </w:r>
                  <w:r>
                    <w:rPr>
                      <w:rFonts w:ascii="Times New Roman" w:hAnsi="Times New Roman"/>
                      <w:sz w:val="24"/>
                      <w:szCs w:val="24"/>
                    </w:rPr>
                    <w:br/>
                  </w:r>
                </w:p>
                <w:p w14:paraId="28DCA07B" w14:textId="71F1ED08" w:rsidR="00617451" w:rsidRPr="00935C17" w:rsidRDefault="00617451" w:rsidP="00617451">
                  <w:pPr>
                    <w:pStyle w:val="ListParagraph"/>
                    <w:numPr>
                      <w:ilvl w:val="0"/>
                      <w:numId w:val="3"/>
                    </w:numPr>
                    <w:spacing w:after="0" w:line="240" w:lineRule="auto"/>
                    <w:ind w:left="389" w:hanging="187"/>
                    <w:rPr>
                      <w:rFonts w:ascii="Times New Roman" w:hAnsi="Times New Roman"/>
                      <w:sz w:val="24"/>
                      <w:szCs w:val="24"/>
                    </w:rPr>
                  </w:pPr>
                  <w:r w:rsidRPr="00935C17">
                    <w:rPr>
                      <w:rFonts w:ascii="Times New Roman" w:hAnsi="Times New Roman"/>
                      <w:sz w:val="24"/>
                      <w:szCs w:val="24"/>
                    </w:rPr>
                    <w:t xml:space="preserve">Information can also be found in Chapter </w:t>
                  </w:r>
                  <w:hyperlink r:id="rId6" w:history="1">
                    <w:r w:rsidR="00935C17" w:rsidRPr="00935C17">
                      <w:rPr>
                        <w:rStyle w:val="Hyperlink"/>
                        <w:rFonts w:ascii="Times New Roman" w:hAnsi="Times New Roman"/>
                        <w:sz w:val="24"/>
                        <w:szCs w:val="24"/>
                      </w:rPr>
                      <w:t>A37</w:t>
                    </w:r>
                  </w:hyperlink>
                  <w:r w:rsidRPr="00935C17">
                    <w:rPr>
                      <w:rFonts w:ascii="Times New Roman" w:hAnsi="Times New Roman"/>
                      <w:sz w:val="24"/>
                      <w:szCs w:val="24"/>
                    </w:rPr>
                    <w:t xml:space="preserve">, Energy Use and Management, of the </w:t>
                  </w:r>
                  <w:hyperlink r:id="rId7" w:history="1">
                    <w:r w:rsidR="00935C17" w:rsidRPr="00935C17">
                      <w:rPr>
                        <w:rStyle w:val="Hyperlink"/>
                        <w:rFonts w:ascii="Times New Roman" w:hAnsi="Times New Roman"/>
                        <w:sz w:val="24"/>
                        <w:szCs w:val="24"/>
                      </w:rPr>
                      <w:t>2023 ASHRAE Handbook – HVAC Applications</w:t>
                    </w:r>
                  </w:hyperlink>
                  <w:r w:rsidRPr="00935C17">
                    <w:rPr>
                      <w:rFonts w:ascii="Times New Roman" w:hAnsi="Times New Roman"/>
                      <w:sz w:val="24"/>
                      <w:szCs w:val="24"/>
                    </w:rPr>
                    <w:t>, which references data from a 2003 DOE Commercial Building Energy Consumption Survey (CBECS). There is information on the energy consumed (not costs as it can vary over time, location, etc.) for a range of end uses. The data is partitioned by building size, use, equipment, geographical region, etc.  The</w:t>
                  </w:r>
                  <w:r w:rsidR="00935C17" w:rsidRPr="00935C17">
                    <w:rPr>
                      <w:rFonts w:ascii="Times New Roman" w:hAnsi="Times New Roman"/>
                      <w:sz w:val="24"/>
                      <w:szCs w:val="24"/>
                    </w:rPr>
                    <w:t xml:space="preserve"> most recent CBECS is from 2018 survey data.</w:t>
                  </w:r>
                  <w:r w:rsidRPr="00935C17">
                    <w:rPr>
                      <w:rFonts w:ascii="Times New Roman" w:hAnsi="Times New Roman"/>
                      <w:sz w:val="24"/>
                      <w:szCs w:val="24"/>
                    </w:rPr>
                    <w:t xml:space="preserve"> You can view the complete study at: </w:t>
                  </w:r>
                  <w:hyperlink r:id="rId8" w:history="1">
                    <w:r w:rsidRPr="00935C17">
                      <w:rPr>
                        <w:rStyle w:val="Hyperlink"/>
                        <w:rFonts w:ascii="Times New Roman" w:hAnsi="Times New Roman"/>
                        <w:sz w:val="24"/>
                        <w:szCs w:val="24"/>
                      </w:rPr>
                      <w:t>www.eia.gov/consumption/</w:t>
                    </w:r>
                    <w:r w:rsidRPr="00935C17">
                      <w:rPr>
                        <w:rStyle w:val="Hyperlink"/>
                        <w:rFonts w:ascii="Times New Roman" w:hAnsi="Times New Roman"/>
                        <w:sz w:val="24"/>
                        <w:szCs w:val="24"/>
                      </w:rPr>
                      <w:t>commercial</w:t>
                    </w:r>
                  </w:hyperlink>
                  <w:r w:rsidRPr="00935C17">
                    <w:rPr>
                      <w:rFonts w:ascii="Times New Roman" w:hAnsi="Times New Roman"/>
                      <w:sz w:val="24"/>
                      <w:szCs w:val="24"/>
                    </w:rPr>
                    <w:t xml:space="preserve">. </w:t>
                  </w:r>
                  <w:r w:rsidRPr="00935C17">
                    <w:rPr>
                      <w:rFonts w:ascii="Times New Roman" w:hAnsi="Times New Roman"/>
                      <w:sz w:val="24"/>
                      <w:szCs w:val="24"/>
                    </w:rPr>
                    <w:br/>
                  </w:r>
                </w:p>
                <w:p w14:paraId="33056407" w14:textId="77777777" w:rsidR="00617451" w:rsidRPr="00617451" w:rsidRDefault="00617451" w:rsidP="00617451">
                  <w:pPr>
                    <w:pStyle w:val="ListParagraph"/>
                    <w:numPr>
                      <w:ilvl w:val="0"/>
                      <w:numId w:val="3"/>
                    </w:numPr>
                    <w:spacing w:after="0" w:line="240" w:lineRule="auto"/>
                    <w:ind w:left="389" w:hanging="187"/>
                    <w:rPr>
                      <w:rFonts w:ascii="Times New Roman" w:hAnsi="Times New Roman"/>
                      <w:sz w:val="24"/>
                      <w:szCs w:val="24"/>
                    </w:rPr>
                  </w:pPr>
                  <w:r w:rsidRPr="00935C17">
                    <w:rPr>
                      <w:rFonts w:ascii="Times New Roman" w:hAnsi="Times New Roman"/>
                      <w:sz w:val="24"/>
                      <w:szCs w:val="24"/>
                    </w:rPr>
                    <w:t>ASHRAE worked with the US DOE on a Standard Benchmark</w:t>
                  </w:r>
                  <w:r w:rsidRPr="00617451">
                    <w:rPr>
                      <w:rFonts w:ascii="Times New Roman" w:hAnsi="Times New Roman"/>
                      <w:sz w:val="24"/>
                      <w:szCs w:val="24"/>
                    </w:rPr>
                    <w:t xml:space="preserve"> Energy Utilization Index that presents simulated EUI results for 16 commercial building types and a range of climate zone for pre-1980 and post-1980 construction characteristics. Information is available at </w:t>
                  </w:r>
                  <w:hyperlink r:id="rId9" w:history="1">
                    <w:r w:rsidRPr="00617451">
                      <w:rPr>
                        <w:rStyle w:val="Hyperlink"/>
                        <w:rFonts w:ascii="Times New Roman" w:hAnsi="Times New Roman"/>
                        <w:sz w:val="24"/>
                        <w:szCs w:val="24"/>
                      </w:rPr>
                      <w:t>http:</w:t>
                    </w:r>
                    <w:r w:rsidRPr="00617451">
                      <w:rPr>
                        <w:rStyle w:val="Hyperlink"/>
                        <w:rFonts w:ascii="Times New Roman" w:hAnsi="Times New Roman"/>
                        <w:sz w:val="24"/>
                        <w:szCs w:val="24"/>
                      </w:rPr>
                      <w:t>//cms.ashrae.biz/EUI</w:t>
                    </w:r>
                  </w:hyperlink>
                  <w:r w:rsidRPr="00617451">
                    <w:rPr>
                      <w:rFonts w:ascii="Times New Roman" w:hAnsi="Times New Roman"/>
                      <w:sz w:val="24"/>
                      <w:szCs w:val="24"/>
                    </w:rPr>
                    <w:t xml:space="preserve">.  </w:t>
                  </w:r>
                  <w:r>
                    <w:rPr>
                      <w:rFonts w:ascii="Times New Roman" w:hAnsi="Times New Roman"/>
                      <w:sz w:val="24"/>
                      <w:szCs w:val="24"/>
                    </w:rPr>
                    <w:br/>
                  </w:r>
                </w:p>
                <w:p w14:paraId="70DB361C" w14:textId="77777777" w:rsidR="00617451" w:rsidRPr="00617451" w:rsidRDefault="00617451" w:rsidP="00617451">
                  <w:pPr>
                    <w:pStyle w:val="ListParagraph"/>
                    <w:numPr>
                      <w:ilvl w:val="0"/>
                      <w:numId w:val="3"/>
                    </w:numPr>
                    <w:spacing w:after="0" w:line="240" w:lineRule="auto"/>
                    <w:ind w:left="389" w:hanging="187"/>
                    <w:rPr>
                      <w:rFonts w:ascii="Arial" w:hAnsi="Arial" w:cs="Arial"/>
                      <w:color w:val="333333"/>
                      <w:sz w:val="27"/>
                      <w:szCs w:val="27"/>
                    </w:rPr>
                  </w:pPr>
                  <w:r w:rsidRPr="00617451">
                    <w:rPr>
                      <w:rFonts w:ascii="Times New Roman" w:hAnsi="Times New Roman"/>
                      <w:sz w:val="24"/>
                      <w:szCs w:val="24"/>
                    </w:rPr>
                    <w:t xml:space="preserve">Similar simulation results are presented as energy targets for existing commercial buildings in </w:t>
                  </w:r>
                  <w:hyperlink r:id="rId10" w:history="1">
                    <w:r w:rsidRPr="00617451">
                      <w:rPr>
                        <w:rStyle w:val="Hyperlink"/>
                        <w:rFonts w:ascii="Times New Roman" w:hAnsi="Times New Roman"/>
                        <w:i/>
                        <w:sz w:val="24"/>
                        <w:szCs w:val="24"/>
                      </w:rPr>
                      <w:t>ASHRAE Standard 100-201</w:t>
                    </w:r>
                    <w:r w:rsidR="002D42B5">
                      <w:rPr>
                        <w:rStyle w:val="Hyperlink"/>
                        <w:rFonts w:ascii="Times New Roman" w:hAnsi="Times New Roman"/>
                        <w:i/>
                        <w:sz w:val="24"/>
                        <w:szCs w:val="24"/>
                      </w:rPr>
                      <w:t>8</w:t>
                    </w:r>
                    <w:r w:rsidRPr="00617451">
                      <w:rPr>
                        <w:rStyle w:val="Hyperlink"/>
                        <w:rFonts w:ascii="Times New Roman" w:hAnsi="Times New Roman"/>
                        <w:i/>
                        <w:sz w:val="24"/>
                        <w:szCs w:val="24"/>
                      </w:rPr>
                      <w:t>,</w:t>
                    </w:r>
                    <w:r w:rsidRPr="00617451">
                      <w:rPr>
                        <w:rStyle w:val="Hyperlink"/>
                        <w:rFonts w:ascii="Times New Roman" w:hAnsi="Times New Roman"/>
                        <w:i/>
                        <w:sz w:val="24"/>
                        <w:szCs w:val="24"/>
                      </w:rPr>
                      <w:t xml:space="preserve"> </w:t>
                    </w:r>
                    <w:r w:rsidRPr="00617451">
                      <w:rPr>
                        <w:rStyle w:val="Hyperlink"/>
                        <w:rFonts w:ascii="Times New Roman" w:hAnsi="Times New Roman"/>
                        <w:sz w:val="24"/>
                        <w:szCs w:val="24"/>
                      </w:rPr>
                      <w:t>Energy Efficiency in Existing Buildings</w:t>
                    </w:r>
                  </w:hyperlink>
                  <w:r>
                    <w:rPr>
                      <w:rFonts w:ascii="Times New Roman" w:hAnsi="Times New Roman"/>
                      <w:i/>
                      <w:sz w:val="24"/>
                      <w:szCs w:val="24"/>
                    </w:rPr>
                    <w:t xml:space="preserve">. </w:t>
                  </w:r>
                  <w:r w:rsidRPr="00617451">
                    <w:rPr>
                      <w:rFonts w:ascii="Times New Roman" w:hAnsi="Times New Roman"/>
                      <w:sz w:val="24"/>
                      <w:szCs w:val="24"/>
                    </w:rPr>
                    <w:br/>
                  </w:r>
                </w:p>
                <w:p w14:paraId="24B7BAA6" w14:textId="77777777" w:rsidR="00617451" w:rsidRPr="00617451" w:rsidRDefault="00617451" w:rsidP="00617451">
                  <w:pPr>
                    <w:pStyle w:val="ListParagraph"/>
                    <w:numPr>
                      <w:ilvl w:val="0"/>
                      <w:numId w:val="3"/>
                    </w:numPr>
                    <w:spacing w:after="0" w:line="240" w:lineRule="auto"/>
                    <w:ind w:left="389" w:hanging="187"/>
                    <w:rPr>
                      <w:rFonts w:ascii="Times New Roman" w:hAnsi="Times New Roman"/>
                      <w:sz w:val="24"/>
                      <w:szCs w:val="24"/>
                    </w:rPr>
                  </w:pPr>
                  <w:r w:rsidRPr="00617451">
                    <w:rPr>
                      <w:rFonts w:ascii="Times New Roman" w:hAnsi="Times New Roman"/>
                      <w:sz w:val="24"/>
                      <w:szCs w:val="24"/>
                    </w:rPr>
                    <w:t xml:space="preserve">The EPA’s ENERGY STAR Portfolio Manager program presents measured EUI data for thousands of commercial buildings, also by building type and climate zone, for benchmark comparisons with buildings entered by users via the internet, </w:t>
                  </w:r>
                  <w:hyperlink r:id="rId11">
                    <w:r w:rsidRPr="00617451">
                      <w:rPr>
                        <w:rFonts w:ascii="Times New Roman" w:hAnsi="Times New Roman"/>
                        <w:color w:val="0000FF"/>
                        <w:sz w:val="24"/>
                        <w:szCs w:val="24"/>
                        <w:u w:val="single"/>
                      </w:rPr>
                      <w:t>https://portfoliomana</w:t>
                    </w:r>
                    <w:r w:rsidRPr="00617451">
                      <w:rPr>
                        <w:rFonts w:ascii="Times New Roman" w:hAnsi="Times New Roman"/>
                        <w:color w:val="0000FF"/>
                        <w:sz w:val="24"/>
                        <w:szCs w:val="24"/>
                        <w:u w:val="single"/>
                      </w:rPr>
                      <w:t>ger.energysta</w:t>
                    </w:r>
                    <w:r w:rsidRPr="00617451">
                      <w:rPr>
                        <w:rFonts w:ascii="Times New Roman" w:hAnsi="Times New Roman"/>
                        <w:color w:val="0000FF"/>
                        <w:sz w:val="24"/>
                        <w:szCs w:val="24"/>
                        <w:u w:val="single"/>
                      </w:rPr>
                      <w:t>r.gov</w:t>
                    </w:r>
                  </w:hyperlink>
                  <w:r w:rsidRPr="00617451">
                    <w:rPr>
                      <w:rFonts w:ascii="Times New Roman" w:hAnsi="Times New Roman"/>
                      <w:sz w:val="24"/>
                      <w:szCs w:val="24"/>
                    </w:rPr>
                    <w:t>.</w:t>
                  </w:r>
                  <w:r>
                    <w:rPr>
                      <w:rFonts w:ascii="Times New Roman" w:hAnsi="Times New Roman"/>
                      <w:sz w:val="24"/>
                      <w:szCs w:val="24"/>
                    </w:rPr>
                    <w:br/>
                  </w:r>
                </w:p>
                <w:p w14:paraId="37802A21" w14:textId="77777777" w:rsidR="00617451" w:rsidRPr="00617451" w:rsidRDefault="00617451" w:rsidP="00617451">
                  <w:pPr>
                    <w:pStyle w:val="ListParagraph"/>
                    <w:numPr>
                      <w:ilvl w:val="0"/>
                      <w:numId w:val="3"/>
                    </w:numPr>
                    <w:spacing w:after="0" w:line="240" w:lineRule="auto"/>
                    <w:ind w:left="389" w:hanging="187"/>
                    <w:rPr>
                      <w:rFonts w:ascii="Times New Roman" w:hAnsi="Times New Roman"/>
                      <w:sz w:val="24"/>
                      <w:szCs w:val="24"/>
                    </w:rPr>
                  </w:pPr>
                  <w:r w:rsidRPr="00617451">
                    <w:rPr>
                      <w:rFonts w:ascii="Times New Roman" w:hAnsi="Times New Roman"/>
                      <w:sz w:val="24"/>
                      <w:szCs w:val="24"/>
                    </w:rPr>
                    <w:t xml:space="preserve">The DOE Building Performance Database (BPD), developed by Lawrence Berkeley National Laboratory at </w:t>
                  </w:r>
                  <w:hyperlink r:id="rId12" w:history="1">
                    <w:r>
                      <w:rPr>
                        <w:rStyle w:val="Hyperlink"/>
                        <w:rFonts w:ascii="Times New Roman" w:hAnsi="Times New Roman"/>
                        <w:sz w:val="24"/>
                        <w:szCs w:val="24"/>
                      </w:rPr>
                      <w:t>http://e</w:t>
                    </w:r>
                    <w:r>
                      <w:rPr>
                        <w:rStyle w:val="Hyperlink"/>
                        <w:rFonts w:ascii="Times New Roman" w:hAnsi="Times New Roman"/>
                        <w:sz w:val="24"/>
                        <w:szCs w:val="24"/>
                      </w:rPr>
                      <w:t>nergy.gov/eere/buildings/building-performance-database</w:t>
                    </w:r>
                  </w:hyperlink>
                  <w:r w:rsidRPr="00617451">
                    <w:rPr>
                      <w:rFonts w:ascii="Times New Roman" w:hAnsi="Times New Roman"/>
                      <w:sz w:val="24"/>
                      <w:szCs w:val="24"/>
                    </w:rPr>
                    <w:t>, provides a large database of energy performance characteristics for commercial and residential buildings.</w:t>
                  </w:r>
                  <w:r>
                    <w:rPr>
                      <w:rFonts w:ascii="Times New Roman" w:hAnsi="Times New Roman"/>
                      <w:sz w:val="24"/>
                      <w:szCs w:val="24"/>
                    </w:rPr>
                    <w:br/>
                  </w:r>
                </w:p>
                <w:p w14:paraId="4ADCF3D4" w14:textId="78BE5FEE" w:rsidR="00F679E6" w:rsidRPr="00617451" w:rsidRDefault="00617451" w:rsidP="00617451">
                  <w:pPr>
                    <w:pStyle w:val="ListParagraph"/>
                    <w:numPr>
                      <w:ilvl w:val="0"/>
                      <w:numId w:val="3"/>
                    </w:numPr>
                    <w:spacing w:after="0" w:line="240" w:lineRule="auto"/>
                    <w:ind w:left="389" w:hanging="187"/>
                    <w:rPr>
                      <w:rFonts w:ascii="Times New Roman" w:hAnsi="Times New Roman"/>
                      <w:color w:val="FF0000"/>
                      <w:sz w:val="24"/>
                      <w:szCs w:val="24"/>
                    </w:rPr>
                  </w:pPr>
                  <w:r w:rsidRPr="00617451">
                    <w:rPr>
                      <w:rFonts w:ascii="Times New Roman" w:hAnsi="Times New Roman"/>
                      <w:sz w:val="24"/>
                      <w:szCs w:val="24"/>
                    </w:rPr>
                    <w:t xml:space="preserve">ASHRAE’s Building Energy Quotient Operational Rating, a voluntary labeling program that compares a building’s annual metered energy </w:t>
                  </w:r>
                  <w:r w:rsidRPr="00935C17">
                    <w:rPr>
                      <w:rFonts w:ascii="Times New Roman" w:hAnsi="Times New Roman"/>
                      <w:sz w:val="24"/>
                      <w:szCs w:val="24"/>
                    </w:rPr>
                    <w:t xml:space="preserve">use (EUI) to the median EUI by building type, is a useful benchmarking and rating tool.   Details are at </w:t>
                  </w:r>
                  <w:hyperlink r:id="rId13" w:history="1">
                    <w:r w:rsidR="00935C17" w:rsidRPr="00935C17">
                      <w:rPr>
                        <w:rStyle w:val="Hyperlink"/>
                        <w:rFonts w:ascii="Times New Roman" w:hAnsi="Times New Roman"/>
                        <w:sz w:val="24"/>
                        <w:szCs w:val="24"/>
                      </w:rPr>
                      <w:t>www.ashrae.org/technical-resources/building-eq/building-eq-portal</w:t>
                    </w:r>
                  </w:hyperlink>
                  <w:r w:rsidR="00935C17">
                    <w:t xml:space="preserve"> </w:t>
                  </w:r>
                </w:p>
              </w:tc>
            </w:tr>
            <w:tr w:rsidR="00B26F66" w14:paraId="5C976A61" w14:textId="77777777" w:rsidTr="00617451">
              <w:trPr>
                <w:gridAfter w:val="1"/>
                <w:wAfter w:w="345" w:type="pct"/>
                <w:trHeight w:val="212"/>
                <w:tblCellSpacing w:w="0" w:type="dxa"/>
              </w:trPr>
              <w:tc>
                <w:tcPr>
                  <w:tcW w:w="4655" w:type="pct"/>
                  <w:gridSpan w:val="3"/>
                  <w:vAlign w:val="center"/>
                </w:tcPr>
                <w:p w14:paraId="4C546444" w14:textId="77777777" w:rsidR="00B26F66" w:rsidRPr="00617451" w:rsidRDefault="00935C17">
                  <w:r>
                    <w:pict w14:anchorId="0327B7BB">
                      <v:rect id="_x0000_i1028" style="width:0;height:1.5pt" o:hralign="center" o:hrstd="t" o:hr="t" fillcolor="#aca899" stroked="f"/>
                    </w:pict>
                  </w:r>
                </w:p>
              </w:tc>
            </w:tr>
            <w:tr w:rsidR="00B26F66" w14:paraId="1DAE35C6" w14:textId="77777777" w:rsidTr="00617451">
              <w:trPr>
                <w:gridAfter w:val="1"/>
                <w:wAfter w:w="345" w:type="pct"/>
                <w:trHeight w:val="396"/>
                <w:tblCellSpacing w:w="0" w:type="dxa"/>
              </w:trPr>
              <w:tc>
                <w:tcPr>
                  <w:tcW w:w="585" w:type="pct"/>
                  <w:vAlign w:val="center"/>
                </w:tcPr>
                <w:p w14:paraId="37D8F7BC" w14:textId="77777777" w:rsidR="00B26F66" w:rsidRPr="001F1042" w:rsidRDefault="00B26F66">
                  <w:r w:rsidRPr="001F1042">
                    <w:t xml:space="preserve">ASHRAE Pubs </w:t>
                  </w:r>
                </w:p>
              </w:tc>
              <w:tc>
                <w:tcPr>
                  <w:tcW w:w="4069" w:type="pct"/>
                  <w:gridSpan w:val="2"/>
                  <w:vAlign w:val="center"/>
                </w:tcPr>
                <w:p w14:paraId="19A4C1BD" w14:textId="0CA956AD" w:rsidR="00C20745" w:rsidRDefault="00935C17" w:rsidP="000F4160">
                  <w:pPr>
                    <w:rPr>
                      <w:color w:val="000000"/>
                    </w:rPr>
                  </w:pPr>
                  <w:hyperlink r:id="rId14" w:history="1">
                    <w:r w:rsidRPr="00286F5D">
                      <w:rPr>
                        <w:rStyle w:val="Hyperlink"/>
                      </w:rPr>
                      <w:t>20</w:t>
                    </w:r>
                    <w:r>
                      <w:rPr>
                        <w:rStyle w:val="Hyperlink"/>
                      </w:rPr>
                      <w:t>23</w:t>
                    </w:r>
                    <w:r w:rsidRPr="00286F5D">
                      <w:rPr>
                        <w:rStyle w:val="Hyperlink"/>
                      </w:rPr>
                      <w:t xml:space="preserve"> ASHRAE Handbook – HVAC Applications</w:t>
                    </w:r>
                  </w:hyperlink>
                  <w:r w:rsidR="000F4160" w:rsidRPr="00B105CD">
                    <w:rPr>
                      <w:color w:val="000000"/>
                    </w:rPr>
                    <w:t xml:space="preserve">, Chapter </w:t>
                  </w:r>
                  <w:hyperlink r:id="rId15" w:history="1">
                    <w:r w:rsidRPr="00286F5D">
                      <w:rPr>
                        <w:rStyle w:val="Hyperlink"/>
                      </w:rPr>
                      <w:t>A3</w:t>
                    </w:r>
                    <w:r>
                      <w:rPr>
                        <w:rStyle w:val="Hyperlink"/>
                      </w:rPr>
                      <w:t>7</w:t>
                    </w:r>
                  </w:hyperlink>
                </w:p>
                <w:p w14:paraId="60A92C5A" w14:textId="77777777" w:rsidR="00611D86" w:rsidRDefault="00611D86" w:rsidP="000F4160">
                  <w:pPr>
                    <w:rPr>
                      <w:color w:val="000000"/>
                    </w:rPr>
                  </w:pPr>
                </w:p>
                <w:p w14:paraId="5517577B" w14:textId="77777777" w:rsidR="00B105CD" w:rsidRPr="0034039F" w:rsidRDefault="0034039F" w:rsidP="00B105CD">
                  <w:pPr>
                    <w:rPr>
                      <w:rStyle w:val="Hyperlink"/>
                    </w:rPr>
                  </w:pPr>
                  <w:r>
                    <w:rPr>
                      <w:color w:val="000000"/>
                    </w:rPr>
                    <w:fldChar w:fldCharType="begin"/>
                  </w:r>
                  <w:r>
                    <w:rPr>
                      <w:color w:val="000000"/>
                    </w:rPr>
                    <w:instrText xml:space="preserve"> HYPERLINK "http://www.techstreet.com/ashrae/products/1834658" </w:instrText>
                  </w:r>
                  <w:r>
                    <w:rPr>
                      <w:color w:val="000000"/>
                    </w:rPr>
                  </w:r>
                  <w:r>
                    <w:rPr>
                      <w:color w:val="000000"/>
                    </w:rPr>
                    <w:fldChar w:fldCharType="separate"/>
                  </w:r>
                  <w:r w:rsidR="00B105CD" w:rsidRPr="0034039F">
                    <w:rPr>
                      <w:rStyle w:val="Hyperlink"/>
                    </w:rPr>
                    <w:t>Energy Efficiency Guide fo</w:t>
                  </w:r>
                  <w:r w:rsidR="00617451">
                    <w:rPr>
                      <w:rStyle w:val="Hyperlink"/>
                    </w:rPr>
                    <w:t>r Existing Commercial Buildings</w:t>
                  </w:r>
                </w:p>
                <w:p w14:paraId="7B83DAE7" w14:textId="77777777" w:rsidR="00B105CD" w:rsidRDefault="0034039F" w:rsidP="000F4160">
                  <w:pPr>
                    <w:rPr>
                      <w:color w:val="000000"/>
                    </w:rPr>
                  </w:pPr>
                  <w:r>
                    <w:rPr>
                      <w:color w:val="000000"/>
                    </w:rPr>
                    <w:fldChar w:fldCharType="end"/>
                  </w:r>
                </w:p>
                <w:p w14:paraId="0C71CC3A" w14:textId="77777777" w:rsidR="0084758E" w:rsidRDefault="00935C17" w:rsidP="00F10FC3">
                  <w:pPr>
                    <w:rPr>
                      <w:rStyle w:val="Hyperlink"/>
                      <w:bCs/>
                    </w:rPr>
                  </w:pPr>
                  <w:hyperlink r:id="rId16" w:history="1">
                    <w:r w:rsidR="0034039F" w:rsidRPr="00384953">
                      <w:rPr>
                        <w:rStyle w:val="Hyperlink"/>
                        <w:bCs/>
                      </w:rPr>
                      <w:t>Energy Efficiency Guide for Existing Commercial Buildings: Technical Implementation</w:t>
                    </w:r>
                  </w:hyperlink>
                </w:p>
                <w:p w14:paraId="04B48DBD" w14:textId="77777777" w:rsidR="00617451" w:rsidRPr="00617451" w:rsidRDefault="00935C17" w:rsidP="002D42B5">
                  <w:pPr>
                    <w:rPr>
                      <w:b/>
                      <w:color w:val="FF0000"/>
                    </w:rPr>
                  </w:pPr>
                  <w:hyperlink r:id="rId17" w:history="1">
                    <w:r w:rsidR="00617451" w:rsidRPr="00617451">
                      <w:rPr>
                        <w:rStyle w:val="Hyperlink"/>
                      </w:rPr>
                      <w:t>ASHRAE Standard 100-201</w:t>
                    </w:r>
                    <w:r w:rsidR="002D42B5">
                      <w:rPr>
                        <w:rStyle w:val="Hyperlink"/>
                      </w:rPr>
                      <w:t>8</w:t>
                    </w:r>
                    <w:r w:rsidR="00617451" w:rsidRPr="00617451">
                      <w:rPr>
                        <w:rStyle w:val="Hyperlink"/>
                      </w:rPr>
                      <w:t>, Energy Efficiency in Existing Buildings</w:t>
                    </w:r>
                  </w:hyperlink>
                  <w:r w:rsidR="00617451" w:rsidRPr="00617451">
                    <w:t>.</w:t>
                  </w:r>
                </w:p>
              </w:tc>
            </w:tr>
            <w:tr w:rsidR="00B26F66" w14:paraId="39FC4206" w14:textId="77777777" w:rsidTr="00617451">
              <w:trPr>
                <w:gridAfter w:val="1"/>
                <w:wAfter w:w="345" w:type="pct"/>
                <w:trHeight w:val="198"/>
                <w:tblCellSpacing w:w="0" w:type="dxa"/>
              </w:trPr>
              <w:tc>
                <w:tcPr>
                  <w:tcW w:w="4655" w:type="pct"/>
                  <w:gridSpan w:val="3"/>
                  <w:vAlign w:val="center"/>
                </w:tcPr>
                <w:p w14:paraId="3F51A38E" w14:textId="77777777" w:rsidR="00B26F66" w:rsidRPr="001F1042" w:rsidRDefault="00935C17">
                  <w:r>
                    <w:lastRenderedPageBreak/>
                    <w:pict w14:anchorId="25C03649">
                      <v:rect id="_x0000_i1029" style="width:0;height:1.5pt" o:hralign="center" o:hrstd="t" o:hr="t" fillcolor="#aca899" stroked="f"/>
                    </w:pict>
                  </w:r>
                </w:p>
              </w:tc>
            </w:tr>
            <w:tr w:rsidR="00B26F66" w14:paraId="40E5711A" w14:textId="77777777" w:rsidTr="00617451">
              <w:trPr>
                <w:gridAfter w:val="1"/>
                <w:wAfter w:w="345" w:type="pct"/>
                <w:trHeight w:val="396"/>
                <w:tblCellSpacing w:w="0" w:type="dxa"/>
              </w:trPr>
              <w:tc>
                <w:tcPr>
                  <w:tcW w:w="585" w:type="pct"/>
                  <w:vAlign w:val="center"/>
                </w:tcPr>
                <w:p w14:paraId="1D7DA5F1" w14:textId="77777777" w:rsidR="00B26F66" w:rsidRPr="001F1042" w:rsidRDefault="00B26F66">
                  <w:r w:rsidRPr="001F1042">
                    <w:t xml:space="preserve">Topic References </w:t>
                  </w:r>
                </w:p>
              </w:tc>
              <w:tc>
                <w:tcPr>
                  <w:tcW w:w="4069" w:type="pct"/>
                  <w:gridSpan w:val="2"/>
                  <w:vAlign w:val="center"/>
                </w:tcPr>
                <w:p w14:paraId="7853C625" w14:textId="77777777" w:rsidR="00B26F66" w:rsidRPr="005D3E78" w:rsidRDefault="005D3E78" w:rsidP="005D3E78">
                  <w:pPr>
                    <w:rPr>
                      <w:color w:val="000000"/>
                    </w:rPr>
                  </w:pPr>
                  <w:r w:rsidRPr="005D3E78">
                    <w:rPr>
                      <w:color w:val="000000"/>
                    </w:rPr>
                    <w:t>Building energy use, benchmark, EUI, Energy Star, CBECS</w:t>
                  </w:r>
                </w:p>
              </w:tc>
            </w:tr>
            <w:tr w:rsidR="00B26F66" w14:paraId="149298C3" w14:textId="77777777" w:rsidTr="00617451">
              <w:trPr>
                <w:trHeight w:val="198"/>
                <w:tblCellSpacing w:w="0" w:type="dxa"/>
              </w:trPr>
              <w:tc>
                <w:tcPr>
                  <w:tcW w:w="5000" w:type="pct"/>
                  <w:gridSpan w:val="4"/>
                  <w:vAlign w:val="center"/>
                </w:tcPr>
                <w:p w14:paraId="3D30CF6F" w14:textId="77777777" w:rsidR="00B26F66" w:rsidRDefault="00935C17" w:rsidP="00C4244D">
                  <w:r>
                    <w:pict w14:anchorId="59EF4E96">
                      <v:rect id="_x0000_i1030" style="width:460.85pt;height:4pt" o:hrpct="926" o:hrstd="t" o:hr="t" fillcolor="#aca899" stroked="f"/>
                    </w:pict>
                  </w:r>
                </w:p>
              </w:tc>
            </w:tr>
            <w:tr w:rsidR="00B26F66" w14:paraId="6E864B37" w14:textId="77777777" w:rsidTr="00617451">
              <w:trPr>
                <w:gridAfter w:val="2"/>
                <w:wAfter w:w="1012" w:type="pct"/>
                <w:trHeight w:val="2121"/>
                <w:tblCellSpacing w:w="0" w:type="dxa"/>
              </w:trPr>
              <w:tc>
                <w:tcPr>
                  <w:tcW w:w="3988"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14:paraId="1CF3AABC" w14:textId="77777777" w:rsidTr="00BE4A11">
                    <w:trPr>
                      <w:trHeight w:val="316"/>
                      <w:jc w:val="center"/>
                    </w:trPr>
                    <w:tc>
                      <w:tcPr>
                        <w:tcW w:w="460" w:type="dxa"/>
                      </w:tcPr>
                      <w:p w14:paraId="56FB3699" w14:textId="77777777" w:rsidR="00B26F66" w:rsidRDefault="00B26F66"/>
                    </w:tc>
                    <w:tc>
                      <w:tcPr>
                        <w:tcW w:w="3600" w:type="dxa"/>
                      </w:tcPr>
                      <w:p w14:paraId="7E6A698A" w14:textId="77777777" w:rsidR="00B26F66" w:rsidRDefault="00B26F66">
                        <w:r>
                          <w:t>Cognizant ASHRAE Committees</w:t>
                        </w:r>
                      </w:p>
                    </w:tc>
                    <w:tc>
                      <w:tcPr>
                        <w:tcW w:w="2520" w:type="dxa"/>
                      </w:tcPr>
                      <w:p w14:paraId="535FCACB" w14:textId="77777777" w:rsidR="00B26F66" w:rsidRDefault="00B26F66">
                        <w:r>
                          <w:t>Refer to Organization</w:t>
                        </w:r>
                      </w:p>
                    </w:tc>
                  </w:tr>
                  <w:tr w:rsidR="00B26F66" w14:paraId="2FD0CFA9" w14:textId="77777777" w:rsidTr="00BE4A11">
                    <w:trPr>
                      <w:trHeight w:val="293"/>
                      <w:jc w:val="center"/>
                    </w:trPr>
                    <w:tc>
                      <w:tcPr>
                        <w:tcW w:w="460" w:type="dxa"/>
                      </w:tcPr>
                      <w:p w14:paraId="4AE9B1BB" w14:textId="77777777" w:rsidR="00B26F66" w:rsidRDefault="00B26F66">
                        <w:r>
                          <w:t>1</w:t>
                        </w:r>
                      </w:p>
                    </w:tc>
                    <w:tc>
                      <w:tcPr>
                        <w:tcW w:w="3600" w:type="dxa"/>
                      </w:tcPr>
                      <w:p w14:paraId="02543F0F" w14:textId="77777777" w:rsidR="00B26F66" w:rsidRPr="005D3E78" w:rsidRDefault="00935C17" w:rsidP="00D45729">
                        <w:pPr>
                          <w:rPr>
                            <w:color w:val="000000"/>
                          </w:rPr>
                        </w:pPr>
                        <w:hyperlink r:id="rId18" w:history="1">
                          <w:r w:rsidR="002D42B5">
                            <w:rPr>
                              <w:rStyle w:val="Hyperlink"/>
                            </w:rPr>
                            <w:t>TC 7.6</w:t>
                          </w:r>
                        </w:hyperlink>
                      </w:p>
                    </w:tc>
                    <w:tc>
                      <w:tcPr>
                        <w:tcW w:w="2520" w:type="dxa"/>
                      </w:tcPr>
                      <w:p w14:paraId="7503DA0B" w14:textId="77777777" w:rsidR="00B26F66" w:rsidRPr="00611D86" w:rsidRDefault="00935C17" w:rsidP="00C4244D">
                        <w:hyperlink r:id="rId19" w:history="1">
                          <w:r w:rsidR="00414FA4" w:rsidRPr="00611D86">
                            <w:rPr>
                              <w:rStyle w:val="Hyperlink"/>
                            </w:rPr>
                            <w:t>US DOE</w:t>
                          </w:r>
                        </w:hyperlink>
                      </w:p>
                    </w:tc>
                  </w:tr>
                  <w:tr w:rsidR="00B26F66" w14:paraId="199B5B43" w14:textId="77777777" w:rsidTr="00BE4A11">
                    <w:trPr>
                      <w:trHeight w:val="293"/>
                      <w:jc w:val="center"/>
                    </w:trPr>
                    <w:tc>
                      <w:tcPr>
                        <w:tcW w:w="460" w:type="dxa"/>
                      </w:tcPr>
                      <w:p w14:paraId="78BB53F1" w14:textId="77777777" w:rsidR="00B26F66" w:rsidRDefault="00B26F66">
                        <w:r>
                          <w:t>2</w:t>
                        </w:r>
                      </w:p>
                    </w:tc>
                    <w:tc>
                      <w:tcPr>
                        <w:tcW w:w="3600" w:type="dxa"/>
                      </w:tcPr>
                      <w:p w14:paraId="459044AE" w14:textId="77777777" w:rsidR="00B26F66" w:rsidRPr="001224D7" w:rsidRDefault="00B26F66" w:rsidP="00D23086">
                        <w:pPr>
                          <w:rPr>
                            <w:color w:val="FF0000"/>
                          </w:rPr>
                        </w:pPr>
                      </w:p>
                    </w:tc>
                    <w:tc>
                      <w:tcPr>
                        <w:tcW w:w="2520" w:type="dxa"/>
                      </w:tcPr>
                      <w:p w14:paraId="4AA79210" w14:textId="77777777" w:rsidR="00B26F66" w:rsidRPr="00611D86" w:rsidRDefault="00935C17">
                        <w:hyperlink r:id="rId20" w:history="1">
                          <w:r w:rsidR="00414FA4" w:rsidRPr="00611D86">
                            <w:rPr>
                              <w:rStyle w:val="Hyperlink"/>
                            </w:rPr>
                            <w:t>US EPA</w:t>
                          </w:r>
                        </w:hyperlink>
                      </w:p>
                    </w:tc>
                  </w:tr>
                  <w:tr w:rsidR="00B26F66" w14:paraId="48C354C0" w14:textId="77777777" w:rsidTr="00BE4A11">
                    <w:trPr>
                      <w:trHeight w:val="293"/>
                      <w:jc w:val="center"/>
                    </w:trPr>
                    <w:tc>
                      <w:tcPr>
                        <w:tcW w:w="460" w:type="dxa"/>
                      </w:tcPr>
                      <w:p w14:paraId="7808DEF2" w14:textId="77777777" w:rsidR="00B26F66" w:rsidRDefault="00B26F66">
                        <w:r>
                          <w:t>3</w:t>
                        </w:r>
                      </w:p>
                    </w:tc>
                    <w:tc>
                      <w:tcPr>
                        <w:tcW w:w="3600" w:type="dxa"/>
                      </w:tcPr>
                      <w:p w14:paraId="075DE04E" w14:textId="77777777" w:rsidR="00B26F66" w:rsidRDefault="00B26F66"/>
                    </w:tc>
                    <w:tc>
                      <w:tcPr>
                        <w:tcW w:w="2520" w:type="dxa"/>
                      </w:tcPr>
                      <w:p w14:paraId="3772C383" w14:textId="77777777" w:rsidR="00B26F66" w:rsidRDefault="00935C17" w:rsidP="00C4244D">
                        <w:hyperlink r:id="rId21" w:history="1"/>
                      </w:p>
                    </w:tc>
                  </w:tr>
                  <w:tr w:rsidR="00B26F66" w14:paraId="402EF0F1" w14:textId="77777777" w:rsidTr="00BE4A11">
                    <w:trPr>
                      <w:trHeight w:val="316"/>
                      <w:jc w:val="center"/>
                    </w:trPr>
                    <w:tc>
                      <w:tcPr>
                        <w:tcW w:w="460" w:type="dxa"/>
                      </w:tcPr>
                      <w:p w14:paraId="089733A1" w14:textId="77777777" w:rsidR="00B26F66" w:rsidRDefault="00B26F66">
                        <w:r>
                          <w:t>4</w:t>
                        </w:r>
                      </w:p>
                    </w:tc>
                    <w:tc>
                      <w:tcPr>
                        <w:tcW w:w="3600" w:type="dxa"/>
                      </w:tcPr>
                      <w:p w14:paraId="2BA44DDA" w14:textId="77777777" w:rsidR="00B26F66" w:rsidRDefault="00B26F66" w:rsidP="00340B54"/>
                    </w:tc>
                    <w:tc>
                      <w:tcPr>
                        <w:tcW w:w="2520" w:type="dxa"/>
                      </w:tcPr>
                      <w:p w14:paraId="594B7E08" w14:textId="77777777" w:rsidR="00B26F66" w:rsidRDefault="00B26F66"/>
                    </w:tc>
                  </w:tr>
                  <w:tr w:rsidR="00B26F66" w14:paraId="6BEC3F56" w14:textId="77777777" w:rsidTr="00BE4A11">
                    <w:trPr>
                      <w:trHeight w:val="316"/>
                      <w:jc w:val="center"/>
                    </w:trPr>
                    <w:tc>
                      <w:tcPr>
                        <w:tcW w:w="460" w:type="dxa"/>
                      </w:tcPr>
                      <w:p w14:paraId="63DE26F0" w14:textId="77777777" w:rsidR="00B26F66" w:rsidRDefault="00B26F66">
                        <w:r>
                          <w:t>5</w:t>
                        </w:r>
                      </w:p>
                    </w:tc>
                    <w:tc>
                      <w:tcPr>
                        <w:tcW w:w="3600" w:type="dxa"/>
                      </w:tcPr>
                      <w:p w14:paraId="5C88B9C6" w14:textId="77777777" w:rsidR="00B26F66" w:rsidRDefault="00B26F66"/>
                    </w:tc>
                    <w:tc>
                      <w:tcPr>
                        <w:tcW w:w="2520" w:type="dxa"/>
                      </w:tcPr>
                      <w:p w14:paraId="044BD30D" w14:textId="77777777" w:rsidR="00B26F66" w:rsidRDefault="00B26F66"/>
                    </w:tc>
                  </w:tr>
                </w:tbl>
                <w:p w14:paraId="6146A71F" w14:textId="77777777" w:rsidR="00B26F66" w:rsidRDefault="00B26F66"/>
              </w:tc>
            </w:tr>
            <w:tr w:rsidR="00B26F66" w14:paraId="7B39A0F5" w14:textId="77777777" w:rsidTr="00617451">
              <w:trPr>
                <w:trHeight w:val="212"/>
                <w:tblCellSpacing w:w="0" w:type="dxa"/>
              </w:trPr>
              <w:tc>
                <w:tcPr>
                  <w:tcW w:w="5000" w:type="pct"/>
                  <w:gridSpan w:val="4"/>
                  <w:vAlign w:val="center"/>
                </w:tcPr>
                <w:p w14:paraId="31007FF5" w14:textId="77777777" w:rsidR="00B26F66" w:rsidRDefault="00B26F66"/>
              </w:tc>
            </w:tr>
          </w:tbl>
          <w:p w14:paraId="6CE0D7BA" w14:textId="77777777" w:rsidR="00B26F66" w:rsidRDefault="00B26F66"/>
        </w:tc>
        <w:tc>
          <w:tcPr>
            <w:tcW w:w="0" w:type="auto"/>
            <w:vAlign w:val="center"/>
          </w:tcPr>
          <w:p w14:paraId="08C0FD2D" w14:textId="77777777" w:rsidR="00B26F66" w:rsidRDefault="00B26F66">
            <w:pPr>
              <w:rPr>
                <w:sz w:val="20"/>
                <w:szCs w:val="20"/>
              </w:rPr>
            </w:pPr>
          </w:p>
        </w:tc>
      </w:tr>
    </w:tbl>
    <w:p w14:paraId="6F07BCB4" w14:textId="77777777" w:rsidR="00B26F66" w:rsidRPr="005E4570" w:rsidRDefault="00B26F66">
      <w:pPr>
        <w:rPr>
          <w:rFonts w:ascii="Arial" w:hAnsi="Arial" w:cs="Arial"/>
        </w:rPr>
      </w:pPr>
    </w:p>
    <w:sectPr w:rsidR="00B26F66" w:rsidRPr="005E4570" w:rsidSect="00531976">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EB1"/>
    <w:multiLevelType w:val="hybridMultilevel"/>
    <w:tmpl w:val="2DE897F6"/>
    <w:lvl w:ilvl="0" w:tplc="1F70795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B75C8"/>
    <w:multiLevelType w:val="hybridMultilevel"/>
    <w:tmpl w:val="AC0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37109"/>
    <w:multiLevelType w:val="hybridMultilevel"/>
    <w:tmpl w:val="874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738841">
    <w:abstractNumId w:val="1"/>
  </w:num>
  <w:num w:numId="2" w16cid:durableId="1115053575">
    <w:abstractNumId w:val="2"/>
  </w:num>
  <w:num w:numId="3" w16cid:durableId="3120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3EC8"/>
    <w:rsid w:val="000142F9"/>
    <w:rsid w:val="00026B8D"/>
    <w:rsid w:val="000405EC"/>
    <w:rsid w:val="00043D6E"/>
    <w:rsid w:val="0005555B"/>
    <w:rsid w:val="00093487"/>
    <w:rsid w:val="000A20AB"/>
    <w:rsid w:val="000A4C5E"/>
    <w:rsid w:val="000B1E64"/>
    <w:rsid w:val="000C17CC"/>
    <w:rsid w:val="000C3D1F"/>
    <w:rsid w:val="000C7C12"/>
    <w:rsid w:val="000D0346"/>
    <w:rsid w:val="000D61FB"/>
    <w:rsid w:val="000E41B2"/>
    <w:rsid w:val="000E46C8"/>
    <w:rsid w:val="000E4A46"/>
    <w:rsid w:val="000F4160"/>
    <w:rsid w:val="00105431"/>
    <w:rsid w:val="00111AD9"/>
    <w:rsid w:val="00113034"/>
    <w:rsid w:val="001224D7"/>
    <w:rsid w:val="00133B32"/>
    <w:rsid w:val="00136D1C"/>
    <w:rsid w:val="001538C4"/>
    <w:rsid w:val="00167169"/>
    <w:rsid w:val="00176F30"/>
    <w:rsid w:val="00177D55"/>
    <w:rsid w:val="001848E8"/>
    <w:rsid w:val="001935DF"/>
    <w:rsid w:val="0019749A"/>
    <w:rsid w:val="001B7130"/>
    <w:rsid w:val="001D2F80"/>
    <w:rsid w:val="001F0C26"/>
    <w:rsid w:val="001F7BF7"/>
    <w:rsid w:val="002051F5"/>
    <w:rsid w:val="0020535B"/>
    <w:rsid w:val="002173A6"/>
    <w:rsid w:val="00227822"/>
    <w:rsid w:val="0024504B"/>
    <w:rsid w:val="00252728"/>
    <w:rsid w:val="00257E60"/>
    <w:rsid w:val="002703A5"/>
    <w:rsid w:val="00271495"/>
    <w:rsid w:val="0027767A"/>
    <w:rsid w:val="002779BB"/>
    <w:rsid w:val="00281782"/>
    <w:rsid w:val="002825E3"/>
    <w:rsid w:val="002B08E4"/>
    <w:rsid w:val="002B0D3F"/>
    <w:rsid w:val="002B0E1E"/>
    <w:rsid w:val="002B2D7E"/>
    <w:rsid w:val="002B6692"/>
    <w:rsid w:val="002C6A17"/>
    <w:rsid w:val="002C7533"/>
    <w:rsid w:val="002D42B5"/>
    <w:rsid w:val="002E0653"/>
    <w:rsid w:val="002E45EC"/>
    <w:rsid w:val="002F4E1B"/>
    <w:rsid w:val="002F6C9C"/>
    <w:rsid w:val="003117BC"/>
    <w:rsid w:val="003121B2"/>
    <w:rsid w:val="003154F9"/>
    <w:rsid w:val="0034039F"/>
    <w:rsid w:val="00340B54"/>
    <w:rsid w:val="0034178F"/>
    <w:rsid w:val="00343F60"/>
    <w:rsid w:val="0034419D"/>
    <w:rsid w:val="003478DA"/>
    <w:rsid w:val="00354C54"/>
    <w:rsid w:val="00354FC9"/>
    <w:rsid w:val="00356BED"/>
    <w:rsid w:val="00357E79"/>
    <w:rsid w:val="00384953"/>
    <w:rsid w:val="003857A7"/>
    <w:rsid w:val="003A0081"/>
    <w:rsid w:val="003A1FF8"/>
    <w:rsid w:val="003A2FCC"/>
    <w:rsid w:val="003A3339"/>
    <w:rsid w:val="003A7837"/>
    <w:rsid w:val="003B1CE9"/>
    <w:rsid w:val="003B7412"/>
    <w:rsid w:val="003C4E8B"/>
    <w:rsid w:val="003D4ED5"/>
    <w:rsid w:val="003E21A9"/>
    <w:rsid w:val="003F582C"/>
    <w:rsid w:val="0040222F"/>
    <w:rsid w:val="00402302"/>
    <w:rsid w:val="004138CF"/>
    <w:rsid w:val="00414FA4"/>
    <w:rsid w:val="00417861"/>
    <w:rsid w:val="004265F2"/>
    <w:rsid w:val="004275F8"/>
    <w:rsid w:val="00435136"/>
    <w:rsid w:val="00437DC1"/>
    <w:rsid w:val="004424C2"/>
    <w:rsid w:val="004466ED"/>
    <w:rsid w:val="0044728F"/>
    <w:rsid w:val="004543E1"/>
    <w:rsid w:val="00454431"/>
    <w:rsid w:val="00460FE3"/>
    <w:rsid w:val="004816F2"/>
    <w:rsid w:val="004A37B0"/>
    <w:rsid w:val="004A4C42"/>
    <w:rsid w:val="004B7D56"/>
    <w:rsid w:val="004F534E"/>
    <w:rsid w:val="00525829"/>
    <w:rsid w:val="00526CA2"/>
    <w:rsid w:val="00531976"/>
    <w:rsid w:val="00536422"/>
    <w:rsid w:val="005373C0"/>
    <w:rsid w:val="00554020"/>
    <w:rsid w:val="00555DE5"/>
    <w:rsid w:val="005560FF"/>
    <w:rsid w:val="005614FF"/>
    <w:rsid w:val="00571299"/>
    <w:rsid w:val="00571372"/>
    <w:rsid w:val="00573B26"/>
    <w:rsid w:val="005750B3"/>
    <w:rsid w:val="00575DE3"/>
    <w:rsid w:val="00581D07"/>
    <w:rsid w:val="005C2DAE"/>
    <w:rsid w:val="005C3B4D"/>
    <w:rsid w:val="005C5CBF"/>
    <w:rsid w:val="005D3E78"/>
    <w:rsid w:val="005D5A07"/>
    <w:rsid w:val="005D60B9"/>
    <w:rsid w:val="005E4570"/>
    <w:rsid w:val="005F09FF"/>
    <w:rsid w:val="005F5381"/>
    <w:rsid w:val="005F54ED"/>
    <w:rsid w:val="005F6297"/>
    <w:rsid w:val="00611D86"/>
    <w:rsid w:val="00617451"/>
    <w:rsid w:val="00623CC1"/>
    <w:rsid w:val="00631532"/>
    <w:rsid w:val="006342C5"/>
    <w:rsid w:val="00634806"/>
    <w:rsid w:val="00650ACA"/>
    <w:rsid w:val="00654562"/>
    <w:rsid w:val="006737EC"/>
    <w:rsid w:val="00674523"/>
    <w:rsid w:val="006A394D"/>
    <w:rsid w:val="006B4FBD"/>
    <w:rsid w:val="006B57C8"/>
    <w:rsid w:val="006B6767"/>
    <w:rsid w:val="006C4140"/>
    <w:rsid w:val="006D617F"/>
    <w:rsid w:val="006E623D"/>
    <w:rsid w:val="006F2C88"/>
    <w:rsid w:val="006F48B2"/>
    <w:rsid w:val="006F504D"/>
    <w:rsid w:val="00700B7C"/>
    <w:rsid w:val="007017C3"/>
    <w:rsid w:val="00706381"/>
    <w:rsid w:val="0071427D"/>
    <w:rsid w:val="00714365"/>
    <w:rsid w:val="00724256"/>
    <w:rsid w:val="0073616E"/>
    <w:rsid w:val="007467D8"/>
    <w:rsid w:val="00757A1E"/>
    <w:rsid w:val="007630B1"/>
    <w:rsid w:val="007712CD"/>
    <w:rsid w:val="007776A6"/>
    <w:rsid w:val="0078711F"/>
    <w:rsid w:val="007B0644"/>
    <w:rsid w:val="007B13FA"/>
    <w:rsid w:val="007B4575"/>
    <w:rsid w:val="007B5F25"/>
    <w:rsid w:val="007C7077"/>
    <w:rsid w:val="007D36C5"/>
    <w:rsid w:val="007D4461"/>
    <w:rsid w:val="007D767C"/>
    <w:rsid w:val="007F3B30"/>
    <w:rsid w:val="007F4885"/>
    <w:rsid w:val="00805C24"/>
    <w:rsid w:val="00813A3D"/>
    <w:rsid w:val="00830AF5"/>
    <w:rsid w:val="00834BFF"/>
    <w:rsid w:val="008462B8"/>
    <w:rsid w:val="0084758E"/>
    <w:rsid w:val="00850063"/>
    <w:rsid w:val="0087000C"/>
    <w:rsid w:val="008701B3"/>
    <w:rsid w:val="008719EB"/>
    <w:rsid w:val="00881807"/>
    <w:rsid w:val="00891043"/>
    <w:rsid w:val="00894205"/>
    <w:rsid w:val="00897865"/>
    <w:rsid w:val="008A1C67"/>
    <w:rsid w:val="008A5008"/>
    <w:rsid w:val="008A784F"/>
    <w:rsid w:val="008B1DCE"/>
    <w:rsid w:val="008B3AE9"/>
    <w:rsid w:val="008C0BEF"/>
    <w:rsid w:val="008C5134"/>
    <w:rsid w:val="008D2B09"/>
    <w:rsid w:val="008D5447"/>
    <w:rsid w:val="008E2F59"/>
    <w:rsid w:val="008E7528"/>
    <w:rsid w:val="00905825"/>
    <w:rsid w:val="00931EEA"/>
    <w:rsid w:val="00935C17"/>
    <w:rsid w:val="00946D49"/>
    <w:rsid w:val="009515BA"/>
    <w:rsid w:val="00954341"/>
    <w:rsid w:val="00961F04"/>
    <w:rsid w:val="00985209"/>
    <w:rsid w:val="00990BE1"/>
    <w:rsid w:val="009A0BC4"/>
    <w:rsid w:val="009B1FB6"/>
    <w:rsid w:val="009B6C9C"/>
    <w:rsid w:val="009B6EC3"/>
    <w:rsid w:val="009C1218"/>
    <w:rsid w:val="009D09C4"/>
    <w:rsid w:val="009F0A2B"/>
    <w:rsid w:val="00A0432D"/>
    <w:rsid w:val="00A07B27"/>
    <w:rsid w:val="00A10D2D"/>
    <w:rsid w:val="00A141FA"/>
    <w:rsid w:val="00A35BBF"/>
    <w:rsid w:val="00A41EB6"/>
    <w:rsid w:val="00A428DA"/>
    <w:rsid w:val="00A42B5B"/>
    <w:rsid w:val="00A44258"/>
    <w:rsid w:val="00A4684A"/>
    <w:rsid w:val="00A479A0"/>
    <w:rsid w:val="00A54053"/>
    <w:rsid w:val="00A731E6"/>
    <w:rsid w:val="00A83D39"/>
    <w:rsid w:val="00AC6438"/>
    <w:rsid w:val="00AF77C5"/>
    <w:rsid w:val="00B02942"/>
    <w:rsid w:val="00B03616"/>
    <w:rsid w:val="00B044DC"/>
    <w:rsid w:val="00B0665D"/>
    <w:rsid w:val="00B105CD"/>
    <w:rsid w:val="00B21E7B"/>
    <w:rsid w:val="00B23A11"/>
    <w:rsid w:val="00B26F66"/>
    <w:rsid w:val="00B439CB"/>
    <w:rsid w:val="00B46DED"/>
    <w:rsid w:val="00B518D4"/>
    <w:rsid w:val="00B51FB5"/>
    <w:rsid w:val="00B60F8A"/>
    <w:rsid w:val="00B662F7"/>
    <w:rsid w:val="00B73BF9"/>
    <w:rsid w:val="00B76549"/>
    <w:rsid w:val="00B822AE"/>
    <w:rsid w:val="00B901B4"/>
    <w:rsid w:val="00B94741"/>
    <w:rsid w:val="00BA430A"/>
    <w:rsid w:val="00BA6202"/>
    <w:rsid w:val="00BB7846"/>
    <w:rsid w:val="00BC52D5"/>
    <w:rsid w:val="00BC784B"/>
    <w:rsid w:val="00BD3079"/>
    <w:rsid w:val="00BD3FC3"/>
    <w:rsid w:val="00BE4A11"/>
    <w:rsid w:val="00BE505D"/>
    <w:rsid w:val="00BF22BF"/>
    <w:rsid w:val="00BF31F7"/>
    <w:rsid w:val="00C164C6"/>
    <w:rsid w:val="00C20745"/>
    <w:rsid w:val="00C24D36"/>
    <w:rsid w:val="00C41BCD"/>
    <w:rsid w:val="00C4244D"/>
    <w:rsid w:val="00C659F8"/>
    <w:rsid w:val="00C7107C"/>
    <w:rsid w:val="00CB0012"/>
    <w:rsid w:val="00CE0D06"/>
    <w:rsid w:val="00D0381D"/>
    <w:rsid w:val="00D1154F"/>
    <w:rsid w:val="00D23086"/>
    <w:rsid w:val="00D25C34"/>
    <w:rsid w:val="00D274C1"/>
    <w:rsid w:val="00D30DFC"/>
    <w:rsid w:val="00D34EBB"/>
    <w:rsid w:val="00D35BE4"/>
    <w:rsid w:val="00D4058C"/>
    <w:rsid w:val="00D45729"/>
    <w:rsid w:val="00D52DA1"/>
    <w:rsid w:val="00D829FF"/>
    <w:rsid w:val="00D953A9"/>
    <w:rsid w:val="00DA0AA0"/>
    <w:rsid w:val="00DA2376"/>
    <w:rsid w:val="00DC7123"/>
    <w:rsid w:val="00DD073D"/>
    <w:rsid w:val="00DE21F3"/>
    <w:rsid w:val="00DF0848"/>
    <w:rsid w:val="00E11623"/>
    <w:rsid w:val="00E11656"/>
    <w:rsid w:val="00E16CD2"/>
    <w:rsid w:val="00E27DD7"/>
    <w:rsid w:val="00E31DEA"/>
    <w:rsid w:val="00E33E07"/>
    <w:rsid w:val="00E35627"/>
    <w:rsid w:val="00E368B7"/>
    <w:rsid w:val="00E36E9E"/>
    <w:rsid w:val="00E57ACB"/>
    <w:rsid w:val="00E62952"/>
    <w:rsid w:val="00E83E50"/>
    <w:rsid w:val="00E86038"/>
    <w:rsid w:val="00EA3DD3"/>
    <w:rsid w:val="00EB72AB"/>
    <w:rsid w:val="00EB7677"/>
    <w:rsid w:val="00EF1683"/>
    <w:rsid w:val="00EF33A2"/>
    <w:rsid w:val="00F00D4E"/>
    <w:rsid w:val="00F033B0"/>
    <w:rsid w:val="00F0454E"/>
    <w:rsid w:val="00F04F62"/>
    <w:rsid w:val="00F070C1"/>
    <w:rsid w:val="00F10FC3"/>
    <w:rsid w:val="00F16773"/>
    <w:rsid w:val="00F200D0"/>
    <w:rsid w:val="00F20FB8"/>
    <w:rsid w:val="00F32B95"/>
    <w:rsid w:val="00F455AD"/>
    <w:rsid w:val="00F544EB"/>
    <w:rsid w:val="00F62AEB"/>
    <w:rsid w:val="00F64BF0"/>
    <w:rsid w:val="00F679E6"/>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0519705"/>
  <w15:chartTrackingRefBased/>
  <w15:docId w15:val="{6FC506BA-8F28-4AA6-93C1-19A78FF4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1745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6F66"/>
    <w:rPr>
      <w:color w:val="0000FF"/>
      <w:u w:val="single"/>
    </w:rPr>
  </w:style>
  <w:style w:type="character" w:styleId="FollowedHyperlink">
    <w:name w:val="FollowedHyperlink"/>
    <w:rsid w:val="00B60F8A"/>
    <w:rPr>
      <w:color w:val="800080"/>
      <w:u w:val="single"/>
    </w:rPr>
  </w:style>
  <w:style w:type="paragraph" w:styleId="PlainText">
    <w:name w:val="Plain Text"/>
    <w:basedOn w:val="Normal"/>
    <w:link w:val="PlainTextChar"/>
    <w:uiPriority w:val="99"/>
    <w:unhideWhenUsed/>
    <w:rsid w:val="00D45729"/>
    <w:rPr>
      <w:rFonts w:ascii="Consolas" w:eastAsia="Calibri" w:hAnsi="Consolas"/>
      <w:sz w:val="21"/>
      <w:szCs w:val="21"/>
      <w:lang w:val="x-none" w:eastAsia="x-none"/>
    </w:rPr>
  </w:style>
  <w:style w:type="character" w:customStyle="1" w:styleId="PlainTextChar">
    <w:name w:val="Plain Text Char"/>
    <w:link w:val="PlainText"/>
    <w:uiPriority w:val="99"/>
    <w:rsid w:val="00D45729"/>
    <w:rPr>
      <w:rFonts w:ascii="Consolas" w:eastAsia="Calibri" w:hAnsi="Consolas" w:cs="Consolas"/>
      <w:sz w:val="21"/>
      <w:szCs w:val="21"/>
    </w:rPr>
  </w:style>
  <w:style w:type="character" w:styleId="Strong">
    <w:name w:val="Strong"/>
    <w:uiPriority w:val="22"/>
    <w:qFormat/>
    <w:rsid w:val="0084758E"/>
    <w:rPr>
      <w:b/>
      <w:bCs/>
    </w:rPr>
  </w:style>
  <w:style w:type="character" w:styleId="Emphasis">
    <w:name w:val="Emphasis"/>
    <w:uiPriority w:val="20"/>
    <w:qFormat/>
    <w:rsid w:val="0084758E"/>
    <w:rPr>
      <w:i/>
      <w:iCs/>
    </w:rPr>
  </w:style>
  <w:style w:type="paragraph" w:styleId="ListParagraph">
    <w:name w:val="List Paragraph"/>
    <w:basedOn w:val="Normal"/>
    <w:uiPriority w:val="34"/>
    <w:qFormat/>
    <w:rsid w:val="00617451"/>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semiHidden/>
    <w:rsid w:val="00617451"/>
    <w:rPr>
      <w:rFonts w:asciiTheme="majorHAnsi" w:eastAsiaTheme="majorEastAsia" w:hAnsiTheme="majorHAnsi" w:cstheme="majorBidi"/>
      <w:b/>
      <w:bCs/>
      <w:i/>
      <w:iCs/>
      <w:sz w:val="28"/>
      <w:szCs w:val="28"/>
    </w:rPr>
  </w:style>
  <w:style w:type="character" w:styleId="UnresolvedMention">
    <w:name w:val="Unresolved Mention"/>
    <w:basedOn w:val="DefaultParagraphFont"/>
    <w:uiPriority w:val="99"/>
    <w:semiHidden/>
    <w:unhideWhenUsed/>
    <w:rsid w:val="00935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391274080">
      <w:bodyDiv w:val="1"/>
      <w:marLeft w:val="0"/>
      <w:marRight w:val="0"/>
      <w:marTop w:val="0"/>
      <w:marBottom w:val="0"/>
      <w:divBdr>
        <w:top w:val="none" w:sz="0" w:space="0" w:color="auto"/>
        <w:left w:val="none" w:sz="0" w:space="0" w:color="auto"/>
        <w:bottom w:val="none" w:sz="0" w:space="0" w:color="auto"/>
        <w:right w:val="none" w:sz="0" w:space="0" w:color="auto"/>
      </w:divBdr>
    </w:div>
    <w:div w:id="448664274">
      <w:bodyDiv w:val="1"/>
      <w:marLeft w:val="0"/>
      <w:marRight w:val="0"/>
      <w:marTop w:val="0"/>
      <w:marBottom w:val="0"/>
      <w:divBdr>
        <w:top w:val="none" w:sz="0" w:space="0" w:color="auto"/>
        <w:left w:val="none" w:sz="0" w:space="0" w:color="auto"/>
        <w:bottom w:val="none" w:sz="0" w:space="0" w:color="auto"/>
        <w:right w:val="none" w:sz="0" w:space="0" w:color="auto"/>
      </w:divBdr>
    </w:div>
    <w:div w:id="801966531">
      <w:bodyDiv w:val="1"/>
      <w:marLeft w:val="0"/>
      <w:marRight w:val="0"/>
      <w:marTop w:val="0"/>
      <w:marBottom w:val="0"/>
      <w:divBdr>
        <w:top w:val="none" w:sz="0" w:space="0" w:color="auto"/>
        <w:left w:val="none" w:sz="0" w:space="0" w:color="auto"/>
        <w:bottom w:val="none" w:sz="0" w:space="0" w:color="auto"/>
        <w:right w:val="none" w:sz="0" w:space="0" w:color="auto"/>
      </w:divBdr>
    </w:div>
    <w:div w:id="996349856">
      <w:bodyDiv w:val="1"/>
      <w:marLeft w:val="0"/>
      <w:marRight w:val="0"/>
      <w:marTop w:val="0"/>
      <w:marBottom w:val="0"/>
      <w:divBdr>
        <w:top w:val="none" w:sz="0" w:space="0" w:color="auto"/>
        <w:left w:val="none" w:sz="0" w:space="0" w:color="auto"/>
        <w:bottom w:val="none" w:sz="0" w:space="0" w:color="auto"/>
        <w:right w:val="none" w:sz="0" w:space="0" w:color="auto"/>
      </w:divBdr>
      <w:divsChild>
        <w:div w:id="1726415767">
          <w:marLeft w:val="0"/>
          <w:marRight w:val="0"/>
          <w:marTop w:val="0"/>
          <w:marBottom w:val="0"/>
          <w:divBdr>
            <w:top w:val="none" w:sz="0" w:space="0" w:color="auto"/>
            <w:left w:val="none" w:sz="0" w:space="0" w:color="auto"/>
            <w:bottom w:val="none" w:sz="0" w:space="0" w:color="auto"/>
            <w:right w:val="none" w:sz="0" w:space="0" w:color="auto"/>
          </w:divBdr>
          <w:divsChild>
            <w:div w:id="577862003">
              <w:marLeft w:val="0"/>
              <w:marRight w:val="200"/>
              <w:marTop w:val="0"/>
              <w:marBottom w:val="0"/>
              <w:divBdr>
                <w:top w:val="none" w:sz="0" w:space="0" w:color="auto"/>
                <w:left w:val="none" w:sz="0" w:space="0" w:color="auto"/>
                <w:bottom w:val="none" w:sz="0" w:space="0" w:color="auto"/>
                <w:right w:val="none" w:sz="0" w:space="0" w:color="auto"/>
              </w:divBdr>
              <w:divsChild>
                <w:div w:id="901138151">
                  <w:marLeft w:val="0"/>
                  <w:marRight w:val="0"/>
                  <w:marTop w:val="0"/>
                  <w:marBottom w:val="0"/>
                  <w:divBdr>
                    <w:top w:val="none" w:sz="0" w:space="0" w:color="auto"/>
                    <w:left w:val="none" w:sz="0" w:space="0" w:color="auto"/>
                    <w:bottom w:val="none" w:sz="0" w:space="0" w:color="auto"/>
                    <w:right w:val="none" w:sz="0" w:space="0" w:color="auto"/>
                  </w:divBdr>
                  <w:divsChild>
                    <w:div w:id="417482528">
                      <w:marLeft w:val="0"/>
                      <w:marRight w:val="0"/>
                      <w:marTop w:val="0"/>
                      <w:marBottom w:val="0"/>
                      <w:divBdr>
                        <w:top w:val="none" w:sz="0" w:space="0" w:color="auto"/>
                        <w:left w:val="none" w:sz="0" w:space="0" w:color="auto"/>
                        <w:bottom w:val="none" w:sz="0" w:space="0" w:color="auto"/>
                        <w:right w:val="none" w:sz="0" w:space="0" w:color="auto"/>
                      </w:divBdr>
                      <w:divsChild>
                        <w:div w:id="11617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107388015">
      <w:bodyDiv w:val="1"/>
      <w:marLeft w:val="0"/>
      <w:marRight w:val="0"/>
      <w:marTop w:val="0"/>
      <w:marBottom w:val="0"/>
      <w:divBdr>
        <w:top w:val="none" w:sz="0" w:space="0" w:color="auto"/>
        <w:left w:val="none" w:sz="0" w:space="0" w:color="auto"/>
        <w:bottom w:val="none" w:sz="0" w:space="0" w:color="auto"/>
        <w:right w:val="none" w:sz="0" w:space="0" w:color="auto"/>
      </w:divBdr>
    </w:div>
    <w:div w:id="1134760502">
      <w:bodyDiv w:val="1"/>
      <w:marLeft w:val="0"/>
      <w:marRight w:val="0"/>
      <w:marTop w:val="0"/>
      <w:marBottom w:val="0"/>
      <w:divBdr>
        <w:top w:val="none" w:sz="0" w:space="0" w:color="auto"/>
        <w:left w:val="none" w:sz="0" w:space="0" w:color="auto"/>
        <w:bottom w:val="none" w:sz="0" w:space="0" w:color="auto"/>
        <w:right w:val="none" w:sz="0" w:space="0" w:color="auto"/>
      </w:divBdr>
    </w:div>
    <w:div w:id="1452171390">
      <w:bodyDiv w:val="1"/>
      <w:marLeft w:val="0"/>
      <w:marRight w:val="0"/>
      <w:marTop w:val="0"/>
      <w:marBottom w:val="0"/>
      <w:divBdr>
        <w:top w:val="none" w:sz="0" w:space="0" w:color="auto"/>
        <w:left w:val="none" w:sz="0" w:space="0" w:color="auto"/>
        <w:bottom w:val="none" w:sz="0" w:space="0" w:color="auto"/>
        <w:right w:val="none" w:sz="0" w:space="0" w:color="auto"/>
      </w:divBdr>
    </w:div>
    <w:div w:id="1806655700">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 w:id="21392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consumption/commercial/" TargetMode="External"/><Relationship Id="rId13" Type="http://schemas.openxmlformats.org/officeDocument/2006/relationships/hyperlink" Target="http://www.ashrae.org/technical-resources/building-eq/building-eq-portal" TargetMode="External"/><Relationship Id="rId18" Type="http://schemas.openxmlformats.org/officeDocument/2006/relationships/hyperlink" Target="https://tc0706.ashraetcs.org/" TargetMode="External"/><Relationship Id="rId3" Type="http://schemas.openxmlformats.org/officeDocument/2006/relationships/settings" Target="settings.xml"/><Relationship Id="rId21" Type="http://schemas.openxmlformats.org/officeDocument/2006/relationships/hyperlink" Target="http://www.ashe.org" TargetMode="External"/><Relationship Id="rId7" Type="http://schemas.openxmlformats.org/officeDocument/2006/relationships/hyperlink" Target="https://www.techstreet.com/ashrae/standards/2023-ashrae-handbook-hvac-applications-i-p?product_id=2225673" TargetMode="External"/><Relationship Id="rId12" Type="http://schemas.openxmlformats.org/officeDocument/2006/relationships/hyperlink" Target="http://energy.gov/eere/buildings/building-performance-database" TargetMode="External"/><Relationship Id="rId17" Type="http://schemas.openxmlformats.org/officeDocument/2006/relationships/hyperlink" Target="https://www.techstreet.com/ashrae/standards/ashrae-100-2018?product_id=2009091" TargetMode="External"/><Relationship Id="rId2" Type="http://schemas.openxmlformats.org/officeDocument/2006/relationships/styles" Target="styles.xml"/><Relationship Id="rId16" Type="http://schemas.openxmlformats.org/officeDocument/2006/relationships/hyperlink" Target="http://www.techstreet.com/ashrae/products/1834658" TargetMode="External"/><Relationship Id="rId20" Type="http://schemas.openxmlformats.org/officeDocument/2006/relationships/hyperlink" Target="http://www.epa.gov" TargetMode="External"/><Relationship Id="rId1" Type="http://schemas.openxmlformats.org/officeDocument/2006/relationships/numbering" Target="numbering.xml"/><Relationship Id="rId6" Type="http://schemas.openxmlformats.org/officeDocument/2006/relationships/hyperlink" Target="https://www.techstreet.com/ashrae/standards/a37-energy-use-and-management-i-p?product_id=2573526" TargetMode="External"/><Relationship Id="rId11" Type="http://schemas.openxmlformats.org/officeDocument/2006/relationships/hyperlink" Target="https://portfoliomanager.energystar.gov" TargetMode="External"/><Relationship Id="rId5" Type="http://schemas.openxmlformats.org/officeDocument/2006/relationships/hyperlink" Target="http://www.techstreet.com/ashrae/products/1834658" TargetMode="External"/><Relationship Id="rId15" Type="http://schemas.openxmlformats.org/officeDocument/2006/relationships/hyperlink" Target="https://www.techstreet.com/ashrae/standards/a37-energy-use-and-management-i-p?product_id=2573526" TargetMode="External"/><Relationship Id="rId23" Type="http://schemas.openxmlformats.org/officeDocument/2006/relationships/theme" Target="theme/theme1.xml"/><Relationship Id="rId10" Type="http://schemas.openxmlformats.org/officeDocument/2006/relationships/hyperlink" Target="https://www.techstreet.com/ashrae/standards/ashrae-100-2018?product_id=2009091" TargetMode="External"/><Relationship Id="rId19" Type="http://schemas.openxmlformats.org/officeDocument/2006/relationships/hyperlink" Target="http://www.doe.gov" TargetMode="External"/><Relationship Id="rId4" Type="http://schemas.openxmlformats.org/officeDocument/2006/relationships/webSettings" Target="webSettings.xml"/><Relationship Id="rId9" Type="http://schemas.openxmlformats.org/officeDocument/2006/relationships/hyperlink" Target="http://cms.ashrae.biz/EUI" TargetMode="External"/><Relationship Id="rId14" Type="http://schemas.openxmlformats.org/officeDocument/2006/relationships/hyperlink" Target="https://www.techstreet.com/ashrae/standards/2023-ashrae-handbook-hvac-applications-i-p?product_id=22256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3987</CharactersWithSpaces>
  <SharedDoc>false</SharedDoc>
  <HLinks>
    <vt:vector size="72" baseType="variant">
      <vt:variant>
        <vt:i4>5308494</vt:i4>
      </vt:variant>
      <vt:variant>
        <vt:i4>33</vt:i4>
      </vt:variant>
      <vt:variant>
        <vt:i4>0</vt:i4>
      </vt:variant>
      <vt:variant>
        <vt:i4>5</vt:i4>
      </vt:variant>
      <vt:variant>
        <vt:lpwstr>http://www.ashe.org/</vt:lpwstr>
      </vt:variant>
      <vt:variant>
        <vt:lpwstr/>
      </vt:variant>
      <vt:variant>
        <vt:i4>4063329</vt:i4>
      </vt:variant>
      <vt:variant>
        <vt:i4>30</vt:i4>
      </vt:variant>
      <vt:variant>
        <vt:i4>0</vt:i4>
      </vt:variant>
      <vt:variant>
        <vt:i4>5</vt:i4>
      </vt:variant>
      <vt:variant>
        <vt:lpwstr>http://www.epa.gov/</vt:lpwstr>
      </vt:variant>
      <vt:variant>
        <vt:lpwstr/>
      </vt:variant>
      <vt:variant>
        <vt:i4>3866750</vt:i4>
      </vt:variant>
      <vt:variant>
        <vt:i4>27</vt:i4>
      </vt:variant>
      <vt:variant>
        <vt:i4>0</vt:i4>
      </vt:variant>
      <vt:variant>
        <vt:i4>5</vt:i4>
      </vt:variant>
      <vt:variant>
        <vt:lpwstr>http://www.doe.gov/</vt:lpwstr>
      </vt:variant>
      <vt:variant>
        <vt:lpwstr/>
      </vt:variant>
      <vt:variant>
        <vt:i4>5767255</vt:i4>
      </vt:variant>
      <vt:variant>
        <vt:i4>24</vt:i4>
      </vt:variant>
      <vt:variant>
        <vt:i4>0</vt:i4>
      </vt:variant>
      <vt:variant>
        <vt:i4>5</vt:i4>
      </vt:variant>
      <vt:variant>
        <vt:lpwstr>http://www.tc76.org/tc76news/</vt:lpwstr>
      </vt:variant>
      <vt:variant>
        <vt:lpwstr/>
      </vt:variant>
      <vt:variant>
        <vt:i4>2162701</vt:i4>
      </vt:variant>
      <vt:variant>
        <vt:i4>21</vt:i4>
      </vt:variant>
      <vt:variant>
        <vt:i4>0</vt:i4>
      </vt:variant>
      <vt:variant>
        <vt:i4>5</vt:i4>
      </vt:variant>
      <vt:variant>
        <vt:lpwstr>http://www.techstreet.com/cgi-bin/detail?product_id=1817568</vt:lpwstr>
      </vt:variant>
      <vt:variant>
        <vt:lpwstr/>
      </vt:variant>
      <vt:variant>
        <vt:i4>2818060</vt:i4>
      </vt:variant>
      <vt:variant>
        <vt:i4>18</vt:i4>
      </vt:variant>
      <vt:variant>
        <vt:i4>0</vt:i4>
      </vt:variant>
      <vt:variant>
        <vt:i4>5</vt:i4>
      </vt:variant>
      <vt:variant>
        <vt:lpwstr>http://www.techstreet.com/cgi-bin/detail?product_id=1703579</vt:lpwstr>
      </vt:variant>
      <vt:variant>
        <vt:lpwstr/>
      </vt:variant>
      <vt:variant>
        <vt:i4>2621450</vt:i4>
      </vt:variant>
      <vt:variant>
        <vt:i4>15</vt:i4>
      </vt:variant>
      <vt:variant>
        <vt:i4>0</vt:i4>
      </vt:variant>
      <vt:variant>
        <vt:i4>5</vt:i4>
      </vt:variant>
      <vt:variant>
        <vt:lpwstr>http://www.techstreet.com/cgi-bin/detail?product_id=1801399</vt:lpwstr>
      </vt:variant>
      <vt:variant>
        <vt:lpwstr/>
      </vt:variant>
      <vt:variant>
        <vt:i4>3014664</vt:i4>
      </vt:variant>
      <vt:variant>
        <vt:i4>12</vt:i4>
      </vt:variant>
      <vt:variant>
        <vt:i4>0</vt:i4>
      </vt:variant>
      <vt:variant>
        <vt:i4>5</vt:i4>
      </vt:variant>
      <vt:variant>
        <vt:lpwstr>http://www.techstreet.com/cgi-bin/detail?product_id=1797866</vt:lpwstr>
      </vt:variant>
      <vt:variant>
        <vt:lpwstr/>
      </vt:variant>
      <vt:variant>
        <vt:i4>2818104</vt:i4>
      </vt:variant>
      <vt:variant>
        <vt:i4>9</vt:i4>
      </vt:variant>
      <vt:variant>
        <vt:i4>0</vt:i4>
      </vt:variant>
      <vt:variant>
        <vt:i4>5</vt:i4>
      </vt:variant>
      <vt:variant>
        <vt:lpwstr>http://www.energystar.gov/index.cfm?c=new_bldg_design.bus_target_finder</vt:lpwstr>
      </vt:variant>
      <vt:variant>
        <vt:lpwstr/>
      </vt:variant>
      <vt:variant>
        <vt:i4>6357050</vt:i4>
      </vt:variant>
      <vt:variant>
        <vt:i4>6</vt:i4>
      </vt:variant>
      <vt:variant>
        <vt:i4>0</vt:i4>
      </vt:variant>
      <vt:variant>
        <vt:i4>5</vt:i4>
      </vt:variant>
      <vt:variant>
        <vt:lpwstr>http://cms.ashrae.biz/EUI/</vt:lpwstr>
      </vt:variant>
      <vt:variant>
        <vt:lpwstr/>
      </vt:variant>
      <vt:variant>
        <vt:i4>1114120</vt:i4>
      </vt:variant>
      <vt:variant>
        <vt:i4>3</vt:i4>
      </vt:variant>
      <vt:variant>
        <vt:i4>0</vt:i4>
      </vt:variant>
      <vt:variant>
        <vt:i4>5</vt:i4>
      </vt:variant>
      <vt:variant>
        <vt:lpwstr>http://www.eia.doe.gov/emeu/cbecs</vt:lpwstr>
      </vt:variant>
      <vt:variant>
        <vt:lpwstr/>
      </vt:variant>
      <vt:variant>
        <vt:i4>2162701</vt:i4>
      </vt:variant>
      <vt:variant>
        <vt:i4>0</vt:i4>
      </vt:variant>
      <vt:variant>
        <vt:i4>0</vt:i4>
      </vt:variant>
      <vt:variant>
        <vt:i4>5</vt:i4>
      </vt:variant>
      <vt:variant>
        <vt:lpwstr>http://www.techstreet.com/cgi-bin/detail?product_id=1817568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cp:lastModifiedBy>Steve Hammerling</cp:lastModifiedBy>
  <cp:revision>7</cp:revision>
  <cp:lastPrinted>2014-05-23T20:36:00Z</cp:lastPrinted>
  <dcterms:created xsi:type="dcterms:W3CDTF">2014-05-23T20:36:00Z</dcterms:created>
  <dcterms:modified xsi:type="dcterms:W3CDTF">2023-10-22T17:48:00Z</dcterms:modified>
</cp:coreProperties>
</file>