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556E81" w14:paraId="08005C1A" w14:textId="77777777">
        <w:trPr>
          <w:tblCellSpacing w:w="0" w:type="dxa"/>
        </w:trPr>
        <w:tc>
          <w:tcPr>
            <w:tcW w:w="0" w:type="auto"/>
            <w:gridSpan w:val="2"/>
            <w:vAlign w:val="center"/>
          </w:tcPr>
          <w:p w14:paraId="685B0CA1" w14:textId="77777777" w:rsidR="00556E81" w:rsidRDefault="00556E81">
            <w:pPr>
              <w:pStyle w:val="Heading3"/>
            </w:pPr>
            <w:r>
              <w:t>ASHRAE Technical FAQ</w:t>
            </w:r>
          </w:p>
        </w:tc>
      </w:tr>
      <w:tr w:rsidR="00556E81" w14:paraId="45036C9E"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15AE3269" w14:textId="77777777">
              <w:trPr>
                <w:trHeight w:val="102"/>
                <w:tblCellSpacing w:w="0" w:type="dxa"/>
              </w:trPr>
              <w:tc>
                <w:tcPr>
                  <w:tcW w:w="5000" w:type="pct"/>
                  <w:gridSpan w:val="4"/>
                  <w:vAlign w:val="center"/>
                </w:tcPr>
                <w:p w14:paraId="10D9FC3C" w14:textId="77777777" w:rsidR="00556E81" w:rsidRDefault="00CA4241">
                  <w:r>
                    <w:pict w14:anchorId="2F0CFE9C">
                      <v:rect id="_x0000_i1025" style="width:0;height:1.5pt" o:hralign="center" o:hrstd="t" o:hr="t" fillcolor="#aca899" stroked="f"/>
                    </w:pict>
                  </w:r>
                </w:p>
              </w:tc>
            </w:tr>
            <w:tr w:rsidR="00556E81" w14:paraId="4CEBB091" w14:textId="77777777">
              <w:trPr>
                <w:gridAfter w:val="1"/>
                <w:wAfter w:w="368" w:type="pct"/>
                <w:trHeight w:val="102"/>
                <w:tblCellSpacing w:w="0" w:type="dxa"/>
              </w:trPr>
              <w:tc>
                <w:tcPr>
                  <w:tcW w:w="980" w:type="pct"/>
                  <w:vAlign w:val="center"/>
                </w:tcPr>
                <w:p w14:paraId="56D0AADA" w14:textId="77777777" w:rsidR="00556E81" w:rsidRDefault="00556E81">
                  <w:r>
                    <w:t xml:space="preserve">ID </w:t>
                  </w:r>
                </w:p>
              </w:tc>
              <w:tc>
                <w:tcPr>
                  <w:tcW w:w="3652" w:type="pct"/>
                  <w:gridSpan w:val="2"/>
                  <w:vAlign w:val="center"/>
                </w:tcPr>
                <w:p w14:paraId="1E375CB1" w14:textId="77777777" w:rsidR="00556E81" w:rsidRDefault="00556E81">
                  <w:r>
                    <w:t>85</w:t>
                  </w:r>
                </w:p>
              </w:tc>
            </w:tr>
            <w:tr w:rsidR="00556E81" w14:paraId="4E523160" w14:textId="77777777">
              <w:trPr>
                <w:gridAfter w:val="1"/>
                <w:wAfter w:w="368" w:type="pct"/>
                <w:trHeight w:val="102"/>
                <w:tblCellSpacing w:w="0" w:type="dxa"/>
              </w:trPr>
              <w:tc>
                <w:tcPr>
                  <w:tcW w:w="4632" w:type="pct"/>
                  <w:gridSpan w:val="3"/>
                  <w:vAlign w:val="center"/>
                </w:tcPr>
                <w:p w14:paraId="08E18258" w14:textId="77777777" w:rsidR="00556E81" w:rsidRPr="00931F3B" w:rsidRDefault="00CA4241">
                  <w:r>
                    <w:pict w14:anchorId="209060BE">
                      <v:rect id="_x0000_i1026" style="width:0;height:1.5pt" o:hralign="center" o:hrstd="t" o:hr="t" fillcolor="#aca899" stroked="f"/>
                    </w:pict>
                  </w:r>
                </w:p>
              </w:tc>
            </w:tr>
            <w:tr w:rsidR="00556E81" w14:paraId="0F0A34C4" w14:textId="77777777">
              <w:trPr>
                <w:gridAfter w:val="1"/>
                <w:wAfter w:w="368" w:type="pct"/>
                <w:trHeight w:val="102"/>
                <w:tblCellSpacing w:w="0" w:type="dxa"/>
              </w:trPr>
              <w:tc>
                <w:tcPr>
                  <w:tcW w:w="980" w:type="pct"/>
                  <w:vAlign w:val="center"/>
                </w:tcPr>
                <w:p w14:paraId="423D0DAF" w14:textId="77777777" w:rsidR="00556E81" w:rsidRPr="00931F3B" w:rsidRDefault="00556E81">
                  <w:r w:rsidRPr="00931F3B">
                    <w:t xml:space="preserve">Question </w:t>
                  </w:r>
                </w:p>
              </w:tc>
              <w:tc>
                <w:tcPr>
                  <w:tcW w:w="3652" w:type="pct"/>
                  <w:gridSpan w:val="2"/>
                  <w:vAlign w:val="center"/>
                </w:tcPr>
                <w:p w14:paraId="3B42DC4C" w14:textId="36AAE92F" w:rsidR="00556E81" w:rsidRPr="00931F3B" w:rsidRDefault="00556E81" w:rsidP="00E00C01">
                  <w:r w:rsidRPr="00931F3B">
                    <w:rPr>
                      <w:color w:val="000000"/>
                    </w:rPr>
                    <w:t xml:space="preserve">How do I show compliance to </w:t>
                  </w:r>
                  <w:hyperlink r:id="rId5" w:history="1">
                    <w:r w:rsidR="00CA4241" w:rsidRPr="008C29EE">
                      <w:rPr>
                        <w:rStyle w:val="Hyperlink"/>
                      </w:rPr>
                      <w:t>ASHRAE Standard 90.1-20</w:t>
                    </w:r>
                    <w:r w:rsidR="00CA4241">
                      <w:rPr>
                        <w:rStyle w:val="Hyperlink"/>
                      </w:rPr>
                      <w:t>22</w:t>
                    </w:r>
                  </w:hyperlink>
                  <w:r w:rsidR="00A616B2">
                    <w:rPr>
                      <w:color w:val="000000"/>
                    </w:rPr>
                    <w:t xml:space="preserve"> </w:t>
                  </w:r>
                  <w:r w:rsidRPr="00931F3B">
                    <w:rPr>
                      <w:color w:val="000000"/>
                    </w:rPr>
                    <w:t>Energy Standard for Buildings Except Low-Rise Residential Buildings?</w:t>
                  </w:r>
                </w:p>
              </w:tc>
            </w:tr>
            <w:tr w:rsidR="00556E81" w14:paraId="5CBE74A8" w14:textId="77777777">
              <w:trPr>
                <w:gridAfter w:val="1"/>
                <w:wAfter w:w="368" w:type="pct"/>
                <w:trHeight w:val="102"/>
                <w:tblCellSpacing w:w="0" w:type="dxa"/>
              </w:trPr>
              <w:tc>
                <w:tcPr>
                  <w:tcW w:w="4632" w:type="pct"/>
                  <w:gridSpan w:val="3"/>
                  <w:vAlign w:val="center"/>
                </w:tcPr>
                <w:p w14:paraId="1596FEED" w14:textId="77777777" w:rsidR="00556E81" w:rsidRPr="00931F3B" w:rsidRDefault="00CA4241">
                  <w:r>
                    <w:pict w14:anchorId="5DDC2A18">
                      <v:rect id="_x0000_i1027" style="width:0;height:1.5pt" o:hralign="center" o:hrstd="t" o:hr="t" fillcolor="#aca899" stroked="f"/>
                    </w:pict>
                  </w:r>
                </w:p>
              </w:tc>
            </w:tr>
            <w:tr w:rsidR="00556E81" w14:paraId="53B03F57" w14:textId="77777777">
              <w:trPr>
                <w:gridAfter w:val="1"/>
                <w:wAfter w:w="368" w:type="pct"/>
                <w:trHeight w:val="102"/>
                <w:tblCellSpacing w:w="0" w:type="dxa"/>
              </w:trPr>
              <w:tc>
                <w:tcPr>
                  <w:tcW w:w="980" w:type="pct"/>
                  <w:vAlign w:val="center"/>
                </w:tcPr>
                <w:p w14:paraId="118E3178" w14:textId="77777777" w:rsidR="00556E81" w:rsidRPr="00931F3B" w:rsidRDefault="00556E81">
                  <w:r w:rsidRPr="00931F3B">
                    <w:t xml:space="preserve">Answer </w:t>
                  </w:r>
                </w:p>
              </w:tc>
              <w:tc>
                <w:tcPr>
                  <w:tcW w:w="3652" w:type="pct"/>
                  <w:gridSpan w:val="2"/>
                  <w:vAlign w:val="center"/>
                </w:tcPr>
                <w:p w14:paraId="170C734E" w14:textId="0B4E5556" w:rsidR="00556E81" w:rsidRPr="00931F3B" w:rsidRDefault="00556E81" w:rsidP="00336DE8">
                  <w:r w:rsidRPr="00931F3B">
                    <w:rPr>
                      <w:color w:val="000000"/>
                    </w:rPr>
                    <w:t xml:space="preserve">The Standard requires that general and mandatory provisions always be met. 90.1 </w:t>
                  </w:r>
                  <w:r w:rsidR="00A616B2" w:rsidRPr="00336DE8">
                    <w:t>compliance documentation forms</w:t>
                  </w:r>
                  <w:r w:rsidR="00A616B2" w:rsidRPr="008C29EE">
                    <w:rPr>
                      <w:color w:val="000000"/>
                    </w:rPr>
                    <w:t xml:space="preserve"> </w:t>
                  </w:r>
                  <w:r w:rsidRPr="00931F3B">
                    <w:rPr>
                      <w:color w:val="000000"/>
                    </w:rPr>
                    <w:t xml:space="preserve">are available </w:t>
                  </w:r>
                  <w:r w:rsidR="00336DE8">
                    <w:rPr>
                      <w:color w:val="000000"/>
                    </w:rPr>
                    <w:t xml:space="preserve">with the </w:t>
                  </w:r>
                  <w:hyperlink r:id="rId6" w:history="1">
                    <w:r w:rsidR="00CA4241" w:rsidRPr="008C29EE">
                      <w:rPr>
                        <w:rStyle w:val="Hyperlink"/>
                      </w:rPr>
                      <w:t>Standard 90.1-201</w:t>
                    </w:r>
                    <w:r w:rsidR="00CA4241">
                      <w:rPr>
                        <w:rStyle w:val="Hyperlink"/>
                      </w:rPr>
                      <w:t>9</w:t>
                    </w:r>
                    <w:r w:rsidR="00CA4241" w:rsidRPr="008C29EE">
                      <w:rPr>
                        <w:rStyle w:val="Hyperlink"/>
                      </w:rPr>
                      <w:t xml:space="preserve"> User's Manual</w:t>
                    </w:r>
                  </w:hyperlink>
                  <w:r w:rsidRPr="00931F3B">
                    <w:rPr>
                      <w:color w:val="000000"/>
                    </w:rPr>
                    <w:br/>
                  </w:r>
                  <w:r w:rsidRPr="00931F3B">
                    <w:rPr>
                      <w:color w:val="000000"/>
                    </w:rPr>
                    <w:br/>
                    <w:t>The Energy Cost Budget (ECB) method, however, may be used as an alternative to the prescriptive and performance requirements given in the standard for various building systems.</w:t>
                  </w:r>
                  <w:r w:rsidRPr="00931F3B">
                    <w:rPr>
                      <w:color w:val="000000"/>
                    </w:rPr>
                    <w:br/>
                  </w:r>
                  <w:r w:rsidRPr="00931F3B">
                    <w:rPr>
                      <w:color w:val="000000"/>
                    </w:rPr>
                    <w:br/>
                    <w:t>The ECB method is a procedure that enables trade-offs between building systems. For instance, the efficiency of the lighting system might be improved in order to justify fenestration that does not meet the prescriptive envelope requirements. Two paths are provided for compliance: the prescriptive requirements method and the annual energy cost method (systems analysis approach)</w:t>
                  </w:r>
                  <w:r w:rsidRPr="00931F3B">
                    <w:rPr>
                      <w:color w:val="000000"/>
                    </w:rPr>
                    <w:br/>
                  </w:r>
                  <w:r w:rsidRPr="00931F3B">
                    <w:rPr>
                      <w:color w:val="000000"/>
                    </w:rPr>
                    <w:br/>
                    <w:t>Also, the prescriptive building envelope requirements of Section 5 of the Standard provide an alternative approach to prescriptive compliance by allowing trade-offs between building envelope components.</w:t>
                  </w:r>
                  <w:r w:rsidRPr="00931F3B">
                    <w:rPr>
                      <w:color w:val="000000"/>
                    </w:rPr>
                    <w:br/>
                  </w:r>
                  <w:r w:rsidRPr="00931F3B">
                    <w:rPr>
                      <w:color w:val="000000"/>
                    </w:rPr>
                    <w:br/>
                    <w:t xml:space="preserve">The Standard and User's Manual may be purchased at our website, </w:t>
                  </w:r>
                  <w:hyperlink r:id="rId7" w:history="1">
                    <w:r w:rsidR="000E7628" w:rsidRPr="00B02DB4">
                      <w:rPr>
                        <w:rStyle w:val="Hyperlink"/>
                      </w:rPr>
                      <w:t>www.ashrae.org</w:t>
                    </w:r>
                  </w:hyperlink>
                  <w:r w:rsidR="000E7628">
                    <w:rPr>
                      <w:color w:val="000000"/>
                    </w:rPr>
                    <w:t xml:space="preserve"> </w:t>
                  </w:r>
                  <w:r w:rsidRPr="00931F3B">
                    <w:rPr>
                      <w:color w:val="000000"/>
                    </w:rPr>
                    <w:t xml:space="preserve">or by calling 1-800-527-4723 in the </w:t>
                  </w:r>
                  <w:smartTag w:uri="urn:schemas-microsoft-com:office:smarttags" w:element="country-region">
                    <w:r w:rsidRPr="00931F3B">
                      <w:rPr>
                        <w:color w:val="000000"/>
                      </w:rPr>
                      <w:t>USA</w:t>
                    </w:r>
                  </w:smartTag>
                  <w:r w:rsidRPr="00931F3B">
                    <w:rPr>
                      <w:color w:val="000000"/>
                    </w:rPr>
                    <w:t xml:space="preserve"> and </w:t>
                  </w:r>
                  <w:smartTag w:uri="urn:schemas-microsoft-com:office:smarttags" w:element="country-region">
                    <w:smartTag w:uri="urn:schemas-microsoft-com:office:smarttags" w:element="place">
                      <w:r w:rsidRPr="00931F3B">
                        <w:rPr>
                          <w:color w:val="000000"/>
                        </w:rPr>
                        <w:t>Canada</w:t>
                      </w:r>
                    </w:smartTag>
                  </w:smartTag>
                  <w:r w:rsidRPr="00931F3B">
                    <w:rPr>
                      <w:color w:val="000000"/>
                    </w:rPr>
                    <w:t xml:space="preserve"> or 1-404-636-8400 worldwide.</w:t>
                  </w:r>
                </w:p>
              </w:tc>
            </w:tr>
            <w:tr w:rsidR="00556E81" w14:paraId="234F103B" w14:textId="77777777">
              <w:trPr>
                <w:gridAfter w:val="1"/>
                <w:wAfter w:w="368" w:type="pct"/>
                <w:trHeight w:val="212"/>
                <w:tblCellSpacing w:w="0" w:type="dxa"/>
              </w:trPr>
              <w:tc>
                <w:tcPr>
                  <w:tcW w:w="4632" w:type="pct"/>
                  <w:gridSpan w:val="3"/>
                  <w:vAlign w:val="center"/>
                </w:tcPr>
                <w:p w14:paraId="2B7ADBCD" w14:textId="77777777" w:rsidR="00556E81" w:rsidRPr="00931F3B" w:rsidRDefault="00CA4241">
                  <w:r>
                    <w:pict w14:anchorId="6247C916">
                      <v:rect id="_x0000_i1028" style="width:0;height:1.5pt" o:hralign="center" o:hrstd="t" o:hr="t" fillcolor="#aca899" stroked="f"/>
                    </w:pict>
                  </w:r>
                </w:p>
              </w:tc>
            </w:tr>
            <w:tr w:rsidR="00556E81" w14:paraId="1DB7F3EF" w14:textId="77777777">
              <w:trPr>
                <w:gridAfter w:val="1"/>
                <w:wAfter w:w="368" w:type="pct"/>
                <w:trHeight w:val="396"/>
                <w:tblCellSpacing w:w="0" w:type="dxa"/>
              </w:trPr>
              <w:tc>
                <w:tcPr>
                  <w:tcW w:w="980" w:type="pct"/>
                  <w:vAlign w:val="center"/>
                </w:tcPr>
                <w:p w14:paraId="2B2E6939" w14:textId="77777777" w:rsidR="00556E81" w:rsidRPr="00931F3B" w:rsidRDefault="00556E81">
                  <w:r w:rsidRPr="00931F3B">
                    <w:t xml:space="preserve">ASHRAE Pubs </w:t>
                  </w:r>
                </w:p>
              </w:tc>
              <w:tc>
                <w:tcPr>
                  <w:tcW w:w="3652" w:type="pct"/>
                  <w:gridSpan w:val="2"/>
                  <w:vAlign w:val="center"/>
                </w:tcPr>
                <w:p w14:paraId="2E87759E" w14:textId="20FC76AA" w:rsidR="00556E81" w:rsidRPr="00931F3B" w:rsidRDefault="00CA4241" w:rsidP="00E00C01">
                  <w:hyperlink r:id="rId8" w:history="1">
                    <w:r w:rsidRPr="008C29EE">
                      <w:rPr>
                        <w:rStyle w:val="Hyperlink"/>
                      </w:rPr>
                      <w:t>ASHRAE Standard 90.1-20</w:t>
                    </w:r>
                    <w:r>
                      <w:rPr>
                        <w:rStyle w:val="Hyperlink"/>
                      </w:rPr>
                      <w:t>22</w:t>
                    </w:r>
                  </w:hyperlink>
                  <w:r w:rsidR="00A616B2">
                    <w:rPr>
                      <w:color w:val="000000"/>
                    </w:rPr>
                    <w:t xml:space="preserve">, </w:t>
                  </w:r>
                  <w:r w:rsidR="00556E81" w:rsidRPr="00931F3B">
                    <w:rPr>
                      <w:color w:val="000000"/>
                    </w:rPr>
                    <w:t xml:space="preserve">Energy Standard for Buildings Except Low-rise Residential Buildings, plus </w:t>
                  </w:r>
                  <w:hyperlink r:id="rId9" w:history="1">
                    <w:r w:rsidR="00556E81" w:rsidRPr="00A616B2">
                      <w:rPr>
                        <w:rStyle w:val="Hyperlink"/>
                      </w:rPr>
                      <w:t xml:space="preserve">ASHRAE BOD approved </w:t>
                    </w:r>
                    <w:r w:rsidR="00A616B2">
                      <w:rPr>
                        <w:rStyle w:val="Hyperlink"/>
                      </w:rPr>
                      <w:t>a</w:t>
                    </w:r>
                    <w:r w:rsidR="00556E81" w:rsidRPr="00A616B2">
                      <w:rPr>
                        <w:rStyle w:val="Hyperlink"/>
                      </w:rPr>
                      <w:t>ddenda.</w:t>
                    </w:r>
                  </w:hyperlink>
                  <w:r w:rsidR="00556E81" w:rsidRPr="00931F3B">
                    <w:rPr>
                      <w:color w:val="000000"/>
                    </w:rPr>
                    <w:t xml:space="preserve"> </w:t>
                  </w:r>
                  <w:r w:rsidR="00556E81" w:rsidRPr="00931F3B">
                    <w:rPr>
                      <w:color w:val="000000"/>
                    </w:rPr>
                    <w:br/>
                  </w:r>
                  <w:r w:rsidR="00556E81" w:rsidRPr="00931F3B">
                    <w:rPr>
                      <w:color w:val="000000"/>
                    </w:rPr>
                    <w:br/>
                  </w:r>
                  <w:hyperlink r:id="rId10" w:history="1">
                    <w:r w:rsidRPr="008C29EE">
                      <w:rPr>
                        <w:rStyle w:val="Hyperlink"/>
                      </w:rPr>
                      <w:t>Standard 90.1-201</w:t>
                    </w:r>
                    <w:r>
                      <w:rPr>
                        <w:rStyle w:val="Hyperlink"/>
                      </w:rPr>
                      <w:t>9</w:t>
                    </w:r>
                    <w:r w:rsidRPr="008C29EE">
                      <w:rPr>
                        <w:rStyle w:val="Hyperlink"/>
                      </w:rPr>
                      <w:t xml:space="preserve"> User's Manual</w:t>
                    </w:r>
                  </w:hyperlink>
                </w:p>
              </w:tc>
            </w:tr>
            <w:tr w:rsidR="00556E81" w14:paraId="2360F567" w14:textId="77777777">
              <w:trPr>
                <w:gridAfter w:val="1"/>
                <w:wAfter w:w="368" w:type="pct"/>
                <w:trHeight w:val="198"/>
                <w:tblCellSpacing w:w="0" w:type="dxa"/>
              </w:trPr>
              <w:tc>
                <w:tcPr>
                  <w:tcW w:w="4632" w:type="pct"/>
                  <w:gridSpan w:val="3"/>
                  <w:vAlign w:val="center"/>
                </w:tcPr>
                <w:p w14:paraId="3515E0E1" w14:textId="77777777" w:rsidR="00556E81" w:rsidRPr="00931F3B" w:rsidRDefault="00CA4241">
                  <w:r>
                    <w:pict w14:anchorId="76FA402F">
                      <v:rect id="_x0000_i1029" style="width:0;height:1.5pt" o:hralign="center" o:hrstd="t" o:hr="t" fillcolor="#aca899" stroked="f"/>
                    </w:pict>
                  </w:r>
                </w:p>
              </w:tc>
            </w:tr>
            <w:tr w:rsidR="00556E81" w14:paraId="78FD8DD4" w14:textId="77777777">
              <w:trPr>
                <w:gridAfter w:val="1"/>
                <w:wAfter w:w="368" w:type="pct"/>
                <w:trHeight w:val="396"/>
                <w:tblCellSpacing w:w="0" w:type="dxa"/>
              </w:trPr>
              <w:tc>
                <w:tcPr>
                  <w:tcW w:w="980" w:type="pct"/>
                  <w:vAlign w:val="center"/>
                </w:tcPr>
                <w:p w14:paraId="59B325D7" w14:textId="77777777" w:rsidR="00556E81" w:rsidRPr="00931F3B" w:rsidRDefault="00556E81">
                  <w:r w:rsidRPr="00931F3B">
                    <w:t xml:space="preserve">Topic References </w:t>
                  </w:r>
                </w:p>
              </w:tc>
              <w:tc>
                <w:tcPr>
                  <w:tcW w:w="3652" w:type="pct"/>
                  <w:gridSpan w:val="2"/>
                  <w:vAlign w:val="center"/>
                </w:tcPr>
                <w:p w14:paraId="48BF9680" w14:textId="77777777" w:rsidR="00556E81" w:rsidRPr="00931F3B" w:rsidRDefault="00556E81">
                  <w:r w:rsidRPr="00931F3B">
                    <w:rPr>
                      <w:color w:val="000000"/>
                    </w:rPr>
                    <w:t>Energy-efficiency, commercial, compliance</w:t>
                  </w:r>
                </w:p>
              </w:tc>
            </w:tr>
            <w:tr w:rsidR="00556E81" w14:paraId="027B9F67" w14:textId="77777777">
              <w:trPr>
                <w:trHeight w:val="198"/>
                <w:tblCellSpacing w:w="0" w:type="dxa"/>
              </w:trPr>
              <w:tc>
                <w:tcPr>
                  <w:tcW w:w="5000" w:type="pct"/>
                  <w:gridSpan w:val="4"/>
                  <w:vAlign w:val="center"/>
                </w:tcPr>
                <w:p w14:paraId="3236FC59" w14:textId="77777777" w:rsidR="00556E81" w:rsidRDefault="00CA4241">
                  <w:r>
                    <w:pict w14:anchorId="797D3A31">
                      <v:rect id="_x0000_i1030" style="width:0;height:1.5pt" o:hralign="center" o:hrstd="t" o:hr="t" fillcolor="#aca899" stroked="f"/>
                    </w:pict>
                  </w:r>
                </w:p>
              </w:tc>
            </w:tr>
            <w:tr w:rsidR="00556E81" w14:paraId="24077CF8"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14:paraId="3DBE0D4C" w14:textId="77777777" w:rsidTr="00F52A31">
                    <w:trPr>
                      <w:trHeight w:val="316"/>
                      <w:jc w:val="center"/>
                    </w:trPr>
                    <w:tc>
                      <w:tcPr>
                        <w:tcW w:w="460" w:type="dxa"/>
                      </w:tcPr>
                      <w:p w14:paraId="5B9EE751" w14:textId="77777777" w:rsidR="00556E81" w:rsidRDefault="00556E81"/>
                    </w:tc>
                    <w:tc>
                      <w:tcPr>
                        <w:tcW w:w="3600" w:type="dxa"/>
                      </w:tcPr>
                      <w:p w14:paraId="7A1CF168" w14:textId="77777777" w:rsidR="00556E81" w:rsidRDefault="00556E81">
                        <w:r>
                          <w:t>Cognizant ASHRAE Committees</w:t>
                        </w:r>
                      </w:p>
                    </w:tc>
                    <w:tc>
                      <w:tcPr>
                        <w:tcW w:w="2520" w:type="dxa"/>
                      </w:tcPr>
                      <w:p w14:paraId="4366119A" w14:textId="77777777" w:rsidR="00556E81" w:rsidRDefault="00556E81">
                        <w:r>
                          <w:t>Refer to Organization</w:t>
                        </w:r>
                      </w:p>
                    </w:tc>
                  </w:tr>
                  <w:tr w:rsidR="00556E81" w14:paraId="71D79D60" w14:textId="77777777" w:rsidTr="00F52A31">
                    <w:trPr>
                      <w:trHeight w:val="293"/>
                      <w:jc w:val="center"/>
                    </w:trPr>
                    <w:tc>
                      <w:tcPr>
                        <w:tcW w:w="460" w:type="dxa"/>
                      </w:tcPr>
                      <w:p w14:paraId="3F10F9F8" w14:textId="77777777" w:rsidR="00556E81" w:rsidRDefault="00556E81">
                        <w:r>
                          <w:t>1</w:t>
                        </w:r>
                      </w:p>
                    </w:tc>
                    <w:tc>
                      <w:tcPr>
                        <w:tcW w:w="3600" w:type="dxa"/>
                      </w:tcPr>
                      <w:p w14:paraId="09528560" w14:textId="77777777" w:rsidR="00556E81" w:rsidRDefault="00336DE8">
                        <w:hyperlink r:id="rId11" w:history="1">
                          <w:r>
                            <w:rPr>
                              <w:rStyle w:val="Hyperlink"/>
                            </w:rPr>
                            <w:t>TC 7.6</w:t>
                          </w:r>
                        </w:hyperlink>
                      </w:p>
                    </w:tc>
                    <w:tc>
                      <w:tcPr>
                        <w:tcW w:w="2520" w:type="dxa"/>
                      </w:tcPr>
                      <w:p w14:paraId="3DD36507" w14:textId="77777777" w:rsidR="00556E81" w:rsidRDefault="00556E81"/>
                    </w:tc>
                  </w:tr>
                  <w:tr w:rsidR="00556E81" w14:paraId="0B5254E1" w14:textId="77777777" w:rsidTr="00F52A31">
                    <w:trPr>
                      <w:trHeight w:val="293"/>
                      <w:jc w:val="center"/>
                    </w:trPr>
                    <w:tc>
                      <w:tcPr>
                        <w:tcW w:w="460" w:type="dxa"/>
                      </w:tcPr>
                      <w:p w14:paraId="77BD51ED" w14:textId="77777777" w:rsidR="00556E81" w:rsidRDefault="00556E81">
                        <w:r>
                          <w:t>2</w:t>
                        </w:r>
                      </w:p>
                    </w:tc>
                    <w:tc>
                      <w:tcPr>
                        <w:tcW w:w="3600" w:type="dxa"/>
                      </w:tcPr>
                      <w:p w14:paraId="34FCDA39" w14:textId="77777777" w:rsidR="00556E81" w:rsidRDefault="00556E81">
                        <w:r>
                          <w:t>SSPC 90.1</w:t>
                        </w:r>
                      </w:p>
                    </w:tc>
                    <w:tc>
                      <w:tcPr>
                        <w:tcW w:w="2520" w:type="dxa"/>
                      </w:tcPr>
                      <w:p w14:paraId="634C908D" w14:textId="77777777" w:rsidR="00556E81" w:rsidRDefault="00556E81"/>
                    </w:tc>
                  </w:tr>
                  <w:tr w:rsidR="00556E81" w14:paraId="49053C19" w14:textId="77777777" w:rsidTr="00F52A31">
                    <w:trPr>
                      <w:trHeight w:val="293"/>
                      <w:jc w:val="center"/>
                    </w:trPr>
                    <w:tc>
                      <w:tcPr>
                        <w:tcW w:w="460" w:type="dxa"/>
                      </w:tcPr>
                      <w:p w14:paraId="708F058A" w14:textId="77777777" w:rsidR="00556E81" w:rsidRDefault="00556E81">
                        <w:r>
                          <w:t>3</w:t>
                        </w:r>
                      </w:p>
                    </w:tc>
                    <w:tc>
                      <w:tcPr>
                        <w:tcW w:w="3600" w:type="dxa"/>
                      </w:tcPr>
                      <w:p w14:paraId="39D47C1D" w14:textId="77777777" w:rsidR="00556E81" w:rsidRDefault="00556E81"/>
                    </w:tc>
                    <w:tc>
                      <w:tcPr>
                        <w:tcW w:w="2520" w:type="dxa"/>
                      </w:tcPr>
                      <w:p w14:paraId="27AA3D7A" w14:textId="77777777" w:rsidR="00556E81" w:rsidRDefault="00556E81"/>
                    </w:tc>
                  </w:tr>
                  <w:tr w:rsidR="00556E81" w14:paraId="7C3B1100" w14:textId="77777777" w:rsidTr="00F52A31">
                    <w:trPr>
                      <w:trHeight w:val="316"/>
                      <w:jc w:val="center"/>
                    </w:trPr>
                    <w:tc>
                      <w:tcPr>
                        <w:tcW w:w="460" w:type="dxa"/>
                      </w:tcPr>
                      <w:p w14:paraId="68DF6F8F" w14:textId="77777777" w:rsidR="00556E81" w:rsidRDefault="00556E81">
                        <w:r>
                          <w:t>4</w:t>
                        </w:r>
                      </w:p>
                    </w:tc>
                    <w:tc>
                      <w:tcPr>
                        <w:tcW w:w="3600" w:type="dxa"/>
                      </w:tcPr>
                      <w:p w14:paraId="5EC7B10A" w14:textId="77777777" w:rsidR="00556E81" w:rsidRDefault="00556E81"/>
                    </w:tc>
                    <w:tc>
                      <w:tcPr>
                        <w:tcW w:w="2520" w:type="dxa"/>
                      </w:tcPr>
                      <w:p w14:paraId="2DDFC2A5" w14:textId="77777777" w:rsidR="00556E81" w:rsidRDefault="00556E81"/>
                    </w:tc>
                  </w:tr>
                  <w:tr w:rsidR="00556E81" w14:paraId="3760A93D" w14:textId="77777777" w:rsidTr="00F52A31">
                    <w:trPr>
                      <w:trHeight w:val="316"/>
                      <w:jc w:val="center"/>
                    </w:trPr>
                    <w:tc>
                      <w:tcPr>
                        <w:tcW w:w="460" w:type="dxa"/>
                      </w:tcPr>
                      <w:p w14:paraId="01081DC5" w14:textId="77777777" w:rsidR="00556E81" w:rsidRDefault="00556E81">
                        <w:r>
                          <w:t>5</w:t>
                        </w:r>
                      </w:p>
                    </w:tc>
                    <w:tc>
                      <w:tcPr>
                        <w:tcW w:w="3600" w:type="dxa"/>
                      </w:tcPr>
                      <w:p w14:paraId="2F6AD048" w14:textId="77777777" w:rsidR="00556E81" w:rsidRDefault="00556E81"/>
                    </w:tc>
                    <w:tc>
                      <w:tcPr>
                        <w:tcW w:w="2520" w:type="dxa"/>
                      </w:tcPr>
                      <w:p w14:paraId="2FC51919" w14:textId="77777777" w:rsidR="00556E81" w:rsidRDefault="00556E81"/>
                    </w:tc>
                  </w:tr>
                </w:tbl>
                <w:p w14:paraId="1249607E" w14:textId="77777777" w:rsidR="00556E81" w:rsidRDefault="00556E81"/>
              </w:tc>
            </w:tr>
            <w:tr w:rsidR="00556E81" w14:paraId="3A5476DD" w14:textId="77777777">
              <w:trPr>
                <w:trHeight w:val="212"/>
                <w:tblCellSpacing w:w="0" w:type="dxa"/>
              </w:trPr>
              <w:tc>
                <w:tcPr>
                  <w:tcW w:w="5000" w:type="pct"/>
                  <w:gridSpan w:val="4"/>
                  <w:vAlign w:val="center"/>
                </w:tcPr>
                <w:p w14:paraId="4E51FC9A" w14:textId="77777777" w:rsidR="00556E81" w:rsidRDefault="00556E81"/>
              </w:tc>
            </w:tr>
          </w:tbl>
          <w:p w14:paraId="5560CABC" w14:textId="77777777" w:rsidR="00556E81" w:rsidRDefault="00556E81"/>
        </w:tc>
        <w:tc>
          <w:tcPr>
            <w:tcW w:w="0" w:type="auto"/>
            <w:vAlign w:val="center"/>
          </w:tcPr>
          <w:p w14:paraId="7D4E6EF3" w14:textId="77777777" w:rsidR="00556E81" w:rsidRDefault="00556E81">
            <w:pPr>
              <w:rPr>
                <w:sz w:val="20"/>
                <w:szCs w:val="20"/>
              </w:rPr>
            </w:pPr>
          </w:p>
        </w:tc>
      </w:tr>
    </w:tbl>
    <w:p w14:paraId="2F6ACB7B" w14:textId="77777777" w:rsidR="0073616E" w:rsidRPr="005E4570" w:rsidRDefault="0073616E" w:rsidP="00D15A3B"/>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97122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6B8D"/>
    <w:rsid w:val="000405EC"/>
    <w:rsid w:val="00043D6E"/>
    <w:rsid w:val="0005555B"/>
    <w:rsid w:val="00055DE7"/>
    <w:rsid w:val="000A4C5E"/>
    <w:rsid w:val="000B1E64"/>
    <w:rsid w:val="000C17CC"/>
    <w:rsid w:val="000C3D1F"/>
    <w:rsid w:val="000C7C12"/>
    <w:rsid w:val="000D61FB"/>
    <w:rsid w:val="000E41B2"/>
    <w:rsid w:val="000E46C8"/>
    <w:rsid w:val="000E4A46"/>
    <w:rsid w:val="000E7628"/>
    <w:rsid w:val="000E7C89"/>
    <w:rsid w:val="00105431"/>
    <w:rsid w:val="00111AD9"/>
    <w:rsid w:val="00133B32"/>
    <w:rsid w:val="00136D1C"/>
    <w:rsid w:val="001538C4"/>
    <w:rsid w:val="00167169"/>
    <w:rsid w:val="00176F30"/>
    <w:rsid w:val="00177D55"/>
    <w:rsid w:val="001847A7"/>
    <w:rsid w:val="00184EAE"/>
    <w:rsid w:val="001935DF"/>
    <w:rsid w:val="0019749A"/>
    <w:rsid w:val="001B7130"/>
    <w:rsid w:val="001C26B7"/>
    <w:rsid w:val="001F0C26"/>
    <w:rsid w:val="002051F5"/>
    <w:rsid w:val="0020535B"/>
    <w:rsid w:val="00211082"/>
    <w:rsid w:val="002173A6"/>
    <w:rsid w:val="00217B0E"/>
    <w:rsid w:val="002231AA"/>
    <w:rsid w:val="00252728"/>
    <w:rsid w:val="00257E60"/>
    <w:rsid w:val="00271495"/>
    <w:rsid w:val="0027767A"/>
    <w:rsid w:val="002779BB"/>
    <w:rsid w:val="00281782"/>
    <w:rsid w:val="002825E3"/>
    <w:rsid w:val="00296204"/>
    <w:rsid w:val="002B0D3F"/>
    <w:rsid w:val="002B6692"/>
    <w:rsid w:val="002C6A17"/>
    <w:rsid w:val="002E45EC"/>
    <w:rsid w:val="002F054B"/>
    <w:rsid w:val="002F4E1B"/>
    <w:rsid w:val="002F6C9C"/>
    <w:rsid w:val="003117BC"/>
    <w:rsid w:val="003121B2"/>
    <w:rsid w:val="00313A5E"/>
    <w:rsid w:val="00336DE8"/>
    <w:rsid w:val="003478DA"/>
    <w:rsid w:val="00354FC9"/>
    <w:rsid w:val="00356BED"/>
    <w:rsid w:val="00357E79"/>
    <w:rsid w:val="00376153"/>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56F0"/>
    <w:rsid w:val="004466ED"/>
    <w:rsid w:val="0044728F"/>
    <w:rsid w:val="004543E1"/>
    <w:rsid w:val="00454431"/>
    <w:rsid w:val="00457A28"/>
    <w:rsid w:val="00460FE3"/>
    <w:rsid w:val="0047321C"/>
    <w:rsid w:val="004816F2"/>
    <w:rsid w:val="004A37B0"/>
    <w:rsid w:val="004A4C42"/>
    <w:rsid w:val="004C415E"/>
    <w:rsid w:val="004F4E62"/>
    <w:rsid w:val="004F534E"/>
    <w:rsid w:val="00526CA2"/>
    <w:rsid w:val="005373C0"/>
    <w:rsid w:val="00554020"/>
    <w:rsid w:val="005552B3"/>
    <w:rsid w:val="00555DE5"/>
    <w:rsid w:val="00556E81"/>
    <w:rsid w:val="00560EF1"/>
    <w:rsid w:val="005614FF"/>
    <w:rsid w:val="00563A8F"/>
    <w:rsid w:val="00566CB7"/>
    <w:rsid w:val="00571372"/>
    <w:rsid w:val="00573B26"/>
    <w:rsid w:val="005750B3"/>
    <w:rsid w:val="00575DE3"/>
    <w:rsid w:val="005823A8"/>
    <w:rsid w:val="005C2DAE"/>
    <w:rsid w:val="005C3B4D"/>
    <w:rsid w:val="005D5A07"/>
    <w:rsid w:val="005E1EF4"/>
    <w:rsid w:val="005E4570"/>
    <w:rsid w:val="005F09FF"/>
    <w:rsid w:val="005F5381"/>
    <w:rsid w:val="005F6297"/>
    <w:rsid w:val="00634806"/>
    <w:rsid w:val="00650ACA"/>
    <w:rsid w:val="006A394D"/>
    <w:rsid w:val="006B4FBD"/>
    <w:rsid w:val="006B6767"/>
    <w:rsid w:val="006C4140"/>
    <w:rsid w:val="006E623D"/>
    <w:rsid w:val="006F2C88"/>
    <w:rsid w:val="006F48B2"/>
    <w:rsid w:val="007017C3"/>
    <w:rsid w:val="00706381"/>
    <w:rsid w:val="00706556"/>
    <w:rsid w:val="00714365"/>
    <w:rsid w:val="00724256"/>
    <w:rsid w:val="0073616E"/>
    <w:rsid w:val="007467D8"/>
    <w:rsid w:val="00757A1E"/>
    <w:rsid w:val="007630B1"/>
    <w:rsid w:val="007712CD"/>
    <w:rsid w:val="007776A6"/>
    <w:rsid w:val="00785213"/>
    <w:rsid w:val="0078711F"/>
    <w:rsid w:val="007B0644"/>
    <w:rsid w:val="007B13FA"/>
    <w:rsid w:val="007B4575"/>
    <w:rsid w:val="007D4461"/>
    <w:rsid w:val="007D767C"/>
    <w:rsid w:val="00805C24"/>
    <w:rsid w:val="0081008C"/>
    <w:rsid w:val="00813A3D"/>
    <w:rsid w:val="00830AF5"/>
    <w:rsid w:val="008462B8"/>
    <w:rsid w:val="00850063"/>
    <w:rsid w:val="0087000C"/>
    <w:rsid w:val="008701B3"/>
    <w:rsid w:val="00881807"/>
    <w:rsid w:val="008A1C67"/>
    <w:rsid w:val="008A5008"/>
    <w:rsid w:val="008A784F"/>
    <w:rsid w:val="008B3AE9"/>
    <w:rsid w:val="008C0BEF"/>
    <w:rsid w:val="008C5134"/>
    <w:rsid w:val="008D2B09"/>
    <w:rsid w:val="008D5447"/>
    <w:rsid w:val="008E7528"/>
    <w:rsid w:val="00905825"/>
    <w:rsid w:val="009245A4"/>
    <w:rsid w:val="00931EEA"/>
    <w:rsid w:val="00946D49"/>
    <w:rsid w:val="009515BA"/>
    <w:rsid w:val="00954341"/>
    <w:rsid w:val="00961F04"/>
    <w:rsid w:val="009A0BC4"/>
    <w:rsid w:val="009A6B30"/>
    <w:rsid w:val="009B6C9C"/>
    <w:rsid w:val="009C1218"/>
    <w:rsid w:val="009D09C4"/>
    <w:rsid w:val="009D7989"/>
    <w:rsid w:val="009F0A2B"/>
    <w:rsid w:val="00A0432D"/>
    <w:rsid w:val="00A07B27"/>
    <w:rsid w:val="00A35BBF"/>
    <w:rsid w:val="00A41EB6"/>
    <w:rsid w:val="00A428DA"/>
    <w:rsid w:val="00A42B5B"/>
    <w:rsid w:val="00A4684A"/>
    <w:rsid w:val="00A479A0"/>
    <w:rsid w:val="00A616B2"/>
    <w:rsid w:val="00A731E6"/>
    <w:rsid w:val="00AF77C5"/>
    <w:rsid w:val="00B02942"/>
    <w:rsid w:val="00B03616"/>
    <w:rsid w:val="00B0665D"/>
    <w:rsid w:val="00B07CE6"/>
    <w:rsid w:val="00B23A11"/>
    <w:rsid w:val="00B439CB"/>
    <w:rsid w:val="00B46DED"/>
    <w:rsid w:val="00B518D4"/>
    <w:rsid w:val="00B51FB5"/>
    <w:rsid w:val="00B55B3A"/>
    <w:rsid w:val="00B662F7"/>
    <w:rsid w:val="00B76549"/>
    <w:rsid w:val="00B901B4"/>
    <w:rsid w:val="00BA430A"/>
    <w:rsid w:val="00BA6202"/>
    <w:rsid w:val="00BB62F2"/>
    <w:rsid w:val="00BB7846"/>
    <w:rsid w:val="00BC784B"/>
    <w:rsid w:val="00BD3079"/>
    <w:rsid w:val="00BD3FC3"/>
    <w:rsid w:val="00BE505D"/>
    <w:rsid w:val="00BF31F7"/>
    <w:rsid w:val="00C05DCF"/>
    <w:rsid w:val="00C164C6"/>
    <w:rsid w:val="00C24D36"/>
    <w:rsid w:val="00C41BCD"/>
    <w:rsid w:val="00C659F8"/>
    <w:rsid w:val="00C7107C"/>
    <w:rsid w:val="00CA4241"/>
    <w:rsid w:val="00CB0012"/>
    <w:rsid w:val="00CC6A21"/>
    <w:rsid w:val="00CE0D06"/>
    <w:rsid w:val="00CF0DFE"/>
    <w:rsid w:val="00D1154F"/>
    <w:rsid w:val="00D15A3B"/>
    <w:rsid w:val="00D30DFC"/>
    <w:rsid w:val="00D34EBB"/>
    <w:rsid w:val="00D35BE4"/>
    <w:rsid w:val="00D37FAB"/>
    <w:rsid w:val="00D4058C"/>
    <w:rsid w:val="00D52DA1"/>
    <w:rsid w:val="00D829FF"/>
    <w:rsid w:val="00DA2376"/>
    <w:rsid w:val="00DC7123"/>
    <w:rsid w:val="00DD073D"/>
    <w:rsid w:val="00DE21F3"/>
    <w:rsid w:val="00DF0848"/>
    <w:rsid w:val="00E00C01"/>
    <w:rsid w:val="00E11623"/>
    <w:rsid w:val="00E14B10"/>
    <w:rsid w:val="00E16CD2"/>
    <w:rsid w:val="00E27DD7"/>
    <w:rsid w:val="00E33E07"/>
    <w:rsid w:val="00E36E9E"/>
    <w:rsid w:val="00E57ACB"/>
    <w:rsid w:val="00E62952"/>
    <w:rsid w:val="00E71EAA"/>
    <w:rsid w:val="00E75C62"/>
    <w:rsid w:val="00E83E50"/>
    <w:rsid w:val="00E86038"/>
    <w:rsid w:val="00EA3DD3"/>
    <w:rsid w:val="00EB0FEE"/>
    <w:rsid w:val="00EB72AB"/>
    <w:rsid w:val="00EB7677"/>
    <w:rsid w:val="00EF33A2"/>
    <w:rsid w:val="00F00D4E"/>
    <w:rsid w:val="00F0454E"/>
    <w:rsid w:val="00F070C1"/>
    <w:rsid w:val="00F16773"/>
    <w:rsid w:val="00F200D0"/>
    <w:rsid w:val="00F20FB8"/>
    <w:rsid w:val="00F430E2"/>
    <w:rsid w:val="00F455AD"/>
    <w:rsid w:val="00F52A31"/>
    <w:rsid w:val="00F544EB"/>
    <w:rsid w:val="00F62AEB"/>
    <w:rsid w:val="00F64BF0"/>
    <w:rsid w:val="00F76334"/>
    <w:rsid w:val="00F87B2D"/>
    <w:rsid w:val="00F96CE0"/>
    <w:rsid w:val="00FA5F51"/>
    <w:rsid w:val="00FB506A"/>
    <w:rsid w:val="00FB639A"/>
    <w:rsid w:val="00FC5F98"/>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100DA37F"/>
  <w15:chartTrackingRefBased/>
  <w15:docId w15:val="{28285984-E309-47AC-9026-553319CC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6E81"/>
    <w:rPr>
      <w:color w:val="0000FF"/>
      <w:u w:val="single"/>
    </w:rPr>
  </w:style>
  <w:style w:type="character" w:styleId="FollowedHyperlink">
    <w:name w:val="FollowedHyperlink"/>
    <w:basedOn w:val="DefaultParagraphFont"/>
    <w:rsid w:val="007065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ashrae-90-1-2022-i-p?product_id=25220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hra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street.com/ashrae/standards/ashrae-standard-90-1-user-s-manual?product_id=2202994" TargetMode="External"/><Relationship Id="rId11" Type="http://schemas.openxmlformats.org/officeDocument/2006/relationships/hyperlink" Target="https://tc0706.ashraetcs.org/" TargetMode="External"/><Relationship Id="rId5" Type="http://schemas.openxmlformats.org/officeDocument/2006/relationships/hyperlink" Target="https://www.techstreet.com/ashrae/standards/ashrae-90-1-2022-i-p?product_id=2522082" TargetMode="External"/><Relationship Id="rId10" Type="http://schemas.openxmlformats.org/officeDocument/2006/relationships/hyperlink" Target="https://www.techstreet.com/ashrae/standards/ashrae-standard-90-1-user-s-manual?product_id=2202994" TargetMode="External"/><Relationship Id="rId4" Type="http://schemas.openxmlformats.org/officeDocument/2006/relationships/webSettings" Target="webSettings.xml"/><Relationship Id="rId9" Type="http://schemas.openxmlformats.org/officeDocument/2006/relationships/hyperlink" Target="http://www.ashrae.org/standards-research--technology/standards-add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2211</CharactersWithSpaces>
  <SharedDoc>false</SharedDoc>
  <HLinks>
    <vt:vector size="42" baseType="variant">
      <vt:variant>
        <vt:i4>5767255</vt:i4>
      </vt:variant>
      <vt:variant>
        <vt:i4>18</vt:i4>
      </vt:variant>
      <vt:variant>
        <vt:i4>0</vt:i4>
      </vt:variant>
      <vt:variant>
        <vt:i4>5</vt:i4>
      </vt:variant>
      <vt:variant>
        <vt:lpwstr>http://www.tc76.org/tc76news/</vt:lpwstr>
      </vt:variant>
      <vt:variant>
        <vt:lpwstr/>
      </vt:variant>
      <vt:variant>
        <vt:i4>2883592</vt:i4>
      </vt:variant>
      <vt:variant>
        <vt:i4>15</vt:i4>
      </vt:variant>
      <vt:variant>
        <vt:i4>0</vt:i4>
      </vt:variant>
      <vt:variant>
        <vt:i4>5</vt:i4>
      </vt:variant>
      <vt:variant>
        <vt:lpwstr>http://www.techstreet.com/cgi-bin/detail?product_id=1766753</vt:lpwstr>
      </vt:variant>
      <vt:variant>
        <vt:lpwstr/>
      </vt:variant>
      <vt:variant>
        <vt:i4>3932271</vt:i4>
      </vt:variant>
      <vt:variant>
        <vt:i4>12</vt:i4>
      </vt:variant>
      <vt:variant>
        <vt:i4>0</vt:i4>
      </vt:variant>
      <vt:variant>
        <vt:i4>5</vt:i4>
      </vt:variant>
      <vt:variant>
        <vt:lpwstr>http://www.ashrae.org/standards-research--technology/standards-addenda</vt:lpwstr>
      </vt:variant>
      <vt:variant>
        <vt:lpwstr/>
      </vt:variant>
      <vt:variant>
        <vt:i4>3276845</vt:i4>
      </vt:variant>
      <vt:variant>
        <vt:i4>9</vt:i4>
      </vt:variant>
      <vt:variant>
        <vt:i4>0</vt:i4>
      </vt:variant>
      <vt:variant>
        <vt:i4>5</vt:i4>
      </vt:variant>
      <vt:variant>
        <vt:lpwstr>http://www.techstreet.com/standards/ashrae/90_1_2010_i_p_?product_id=1739526</vt:lpwstr>
      </vt:variant>
      <vt:variant>
        <vt:lpwstr/>
      </vt:variant>
      <vt:variant>
        <vt:i4>3145788</vt:i4>
      </vt:variant>
      <vt:variant>
        <vt:i4>6</vt:i4>
      </vt:variant>
      <vt:variant>
        <vt:i4>0</vt:i4>
      </vt:variant>
      <vt:variant>
        <vt:i4>5</vt:i4>
      </vt:variant>
      <vt:variant>
        <vt:lpwstr>http://www.ashrae.org/</vt:lpwstr>
      </vt:variant>
      <vt:variant>
        <vt:lpwstr/>
      </vt:variant>
      <vt:variant>
        <vt:i4>524367</vt:i4>
      </vt:variant>
      <vt:variant>
        <vt:i4>3</vt:i4>
      </vt:variant>
      <vt:variant>
        <vt:i4>0</vt:i4>
      </vt:variant>
      <vt:variant>
        <vt:i4>5</vt:i4>
      </vt:variant>
      <vt:variant>
        <vt:lpwstr>http://www.ashrae.org/standards-research--technology/standards-forms--procedures</vt:lpwstr>
      </vt:variant>
      <vt:variant>
        <vt:lpwstr/>
      </vt:variant>
      <vt:variant>
        <vt:i4>3276845</vt:i4>
      </vt:variant>
      <vt:variant>
        <vt:i4>0</vt:i4>
      </vt:variant>
      <vt:variant>
        <vt:i4>0</vt:i4>
      </vt:variant>
      <vt:variant>
        <vt:i4>5</vt:i4>
      </vt:variant>
      <vt:variant>
        <vt:lpwstr>http://www.techstreet.com/standards/ashrae/90_1_2010_i_p_?product_id=1739526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Steve Hammerling</cp:lastModifiedBy>
  <cp:revision>6</cp:revision>
  <cp:lastPrinted>2014-05-27T13:37:00Z</cp:lastPrinted>
  <dcterms:created xsi:type="dcterms:W3CDTF">2014-05-27T13:37:00Z</dcterms:created>
  <dcterms:modified xsi:type="dcterms:W3CDTF">2023-10-22T17:29:00Z</dcterms:modified>
</cp:coreProperties>
</file>