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4"/>
        <w:gridCol w:w="6"/>
      </w:tblGrid>
      <w:tr w:rsidR="00B26F66" w14:paraId="58479F03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509E94A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3DE429F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8"/>
              <w:gridCol w:w="691"/>
              <w:gridCol w:w="745"/>
            </w:tblGrid>
            <w:tr w:rsidR="00B26F66" w14:paraId="3BB4FA92" w14:textId="77777777" w:rsidTr="00F02205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EAC1BD8" w14:textId="77777777" w:rsidR="00B26F66" w:rsidRDefault="001441DD">
                  <w:r>
                    <w:pict w14:anchorId="08D91FAE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77DBD5AB" w14:textId="77777777" w:rsidTr="00F02205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28FD895C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218B4B7E" w14:textId="77777777" w:rsidR="00B26F66" w:rsidRDefault="003B1CE9">
                  <w:r>
                    <w:t>95</w:t>
                  </w:r>
                </w:p>
              </w:tc>
            </w:tr>
            <w:tr w:rsidR="00B26F66" w14:paraId="081B4F20" w14:textId="77777777" w:rsidTr="00F02205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47A10A77" w14:textId="77777777" w:rsidR="00B26F66" w:rsidRPr="001F1042" w:rsidRDefault="001441DD">
                  <w:r>
                    <w:pict w14:anchorId="0CA1067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2A21BBAE" w14:textId="77777777" w:rsidTr="00F02205">
              <w:trPr>
                <w:gridAfter w:val="1"/>
                <w:wAfter w:w="347" w:type="pct"/>
                <w:trHeight w:val="681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1AB73493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0168BCDB" w14:textId="77777777" w:rsidR="00B26F66" w:rsidRPr="001F1042" w:rsidRDefault="003B1CE9" w:rsidP="003C17CA">
                  <w:r w:rsidRPr="003B1CE9">
                    <w:t xml:space="preserve">Where can I find the criteria for an ASHRAE Level </w:t>
                  </w:r>
                  <w:r w:rsidR="003C17CA">
                    <w:t>1</w:t>
                  </w:r>
                  <w:r>
                    <w:t xml:space="preserve">, Level </w:t>
                  </w:r>
                  <w:r w:rsidR="003C17CA">
                    <w:t>2</w:t>
                  </w:r>
                  <w:r>
                    <w:t xml:space="preserve"> or Level </w:t>
                  </w:r>
                  <w:r w:rsidR="003C17CA">
                    <w:t>3</w:t>
                  </w:r>
                  <w:r>
                    <w:t xml:space="preserve"> </w:t>
                  </w:r>
                  <w:r w:rsidRPr="003B1CE9">
                    <w:t xml:space="preserve">energy audit? </w:t>
                  </w:r>
                </w:p>
              </w:tc>
            </w:tr>
            <w:tr w:rsidR="00B26F66" w14:paraId="40087A9A" w14:textId="77777777" w:rsidTr="00F02205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6B29DCCC" w14:textId="77777777" w:rsidR="00B26F66" w:rsidRPr="001F1042" w:rsidRDefault="001441DD">
                  <w:r>
                    <w:pict w14:anchorId="1881DC2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3BB7AEA0" w14:textId="77777777" w:rsidTr="00F02205">
              <w:trPr>
                <w:gridAfter w:val="1"/>
                <w:wAfter w:w="347" w:type="pct"/>
                <w:trHeight w:val="4641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20544B2D" w14:textId="77777777" w:rsidR="00B26F66" w:rsidRPr="000A20AB" w:rsidRDefault="00B26F66">
                  <w:r w:rsidRPr="000A20AB"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CD4C008" w14:textId="6D6935F7" w:rsidR="00D0381D" w:rsidRPr="00286F5D" w:rsidRDefault="001441DD" w:rsidP="00137E73">
                  <w:hyperlink r:id="rId5" w:history="1">
                    <w:r w:rsidR="00137E73" w:rsidRPr="00137E73">
                      <w:rPr>
                        <w:rStyle w:val="Hyperlink"/>
                      </w:rPr>
                      <w:t>ASHRAE Standard 211-2018</w:t>
                    </w:r>
                    <w:r>
                      <w:rPr>
                        <w:rStyle w:val="Hyperlink"/>
                      </w:rPr>
                      <w:t xml:space="preserve"> (RA2023)</w:t>
                    </w:r>
                    <w:r w:rsidR="00137E73" w:rsidRPr="00137E73">
                      <w:rPr>
                        <w:rStyle w:val="Hyperlink"/>
                      </w:rPr>
                      <w:t>,</w:t>
                    </w:r>
                  </w:hyperlink>
                  <w:r w:rsidR="00137E73">
                    <w:t xml:space="preserve"> Standard for Commercial Building Energy Audits, as well as the </w:t>
                  </w:r>
                  <w:r w:rsidR="00AC6438" w:rsidRPr="00286F5D">
                    <w:t xml:space="preserve">ASHRAE </w:t>
                  </w:r>
                  <w:r w:rsidR="003B1CE9" w:rsidRPr="00286F5D">
                    <w:t xml:space="preserve">publication </w:t>
                  </w:r>
                  <w:hyperlink r:id="rId6" w:history="1">
                    <w:r w:rsidR="003B1CE9" w:rsidRPr="00286F5D">
                      <w:rPr>
                        <w:rStyle w:val="Hyperlink"/>
                      </w:rPr>
                      <w:t>Procedures for Commercial Building Energy Audits</w:t>
                    </w:r>
                  </w:hyperlink>
                  <w:r w:rsidR="00AC6438" w:rsidRPr="00286F5D">
                    <w:t xml:space="preserve"> details the procedures for the</w:t>
                  </w:r>
                  <w:r w:rsidR="003B1CE9" w:rsidRPr="00286F5D">
                    <w:t xml:space="preserve"> various energy audit level procedures</w:t>
                  </w:r>
                  <w:r w:rsidR="00D0381D" w:rsidRPr="00286F5D">
                    <w:t>:</w:t>
                  </w:r>
                </w:p>
                <w:p w14:paraId="68D7E612" w14:textId="77777777" w:rsidR="00D0381D" w:rsidRPr="00286F5D" w:rsidRDefault="00924425" w:rsidP="00D0381D">
                  <w:pPr>
                    <w:numPr>
                      <w:ilvl w:val="0"/>
                      <w:numId w:val="1"/>
                    </w:numPr>
                  </w:pPr>
                  <w:r>
                    <w:t>Level 1</w:t>
                  </w:r>
                  <w:r w:rsidRPr="00286F5D">
                    <w:t xml:space="preserve"> </w:t>
                  </w:r>
                  <w:r w:rsidR="00D0381D" w:rsidRPr="00286F5D">
                    <w:t xml:space="preserve">– Walk-Through </w:t>
                  </w:r>
                  <w:r>
                    <w:t>Survey</w:t>
                  </w:r>
                </w:p>
                <w:p w14:paraId="3DA22159" w14:textId="77777777" w:rsidR="00D0381D" w:rsidRPr="00286F5D" w:rsidRDefault="00924425" w:rsidP="00D0381D">
                  <w:pPr>
                    <w:numPr>
                      <w:ilvl w:val="0"/>
                      <w:numId w:val="1"/>
                    </w:numPr>
                  </w:pPr>
                  <w:r>
                    <w:t xml:space="preserve">Level 2 </w:t>
                  </w:r>
                  <w:r w:rsidRPr="00286F5D">
                    <w:t xml:space="preserve">– </w:t>
                  </w:r>
                  <w:r w:rsidR="00D0381D" w:rsidRPr="00286F5D">
                    <w:t xml:space="preserve">Energy Survey and Analysis, </w:t>
                  </w:r>
                </w:p>
                <w:p w14:paraId="0FE620E3" w14:textId="77777777" w:rsidR="00D0381D" w:rsidRDefault="00924425" w:rsidP="00D0381D">
                  <w:pPr>
                    <w:numPr>
                      <w:ilvl w:val="0"/>
                      <w:numId w:val="1"/>
                    </w:numPr>
                  </w:pPr>
                  <w:r>
                    <w:t xml:space="preserve">Level 3 </w:t>
                  </w:r>
                  <w:r w:rsidRPr="00286F5D">
                    <w:t xml:space="preserve">– </w:t>
                  </w:r>
                  <w:r w:rsidR="00D0381D" w:rsidRPr="00286F5D">
                    <w:t>Detailed Analysis of Capital-Intensive Modifications</w:t>
                  </w:r>
                </w:p>
                <w:p w14:paraId="0A8857DF" w14:textId="77777777" w:rsidR="00924425" w:rsidRPr="00286F5D" w:rsidRDefault="00924425" w:rsidP="00D0381D">
                  <w:pPr>
                    <w:numPr>
                      <w:ilvl w:val="0"/>
                      <w:numId w:val="1"/>
                    </w:numPr>
                  </w:pPr>
                  <w:r>
                    <w:t>Targeted Audits</w:t>
                  </w:r>
                  <w:r>
                    <w:br/>
                  </w:r>
                </w:p>
                <w:p w14:paraId="2B9FAA5B" w14:textId="77777777" w:rsidR="003B1CE9" w:rsidRPr="00286F5D" w:rsidRDefault="007B5F25" w:rsidP="003B1CE9">
                  <w:r w:rsidRPr="00286F5D">
                    <w:t>The</w:t>
                  </w:r>
                  <w:r w:rsidR="00D0381D" w:rsidRPr="00286F5D">
                    <w:t xml:space="preserve"> book </w:t>
                  </w:r>
                  <w:r w:rsidR="003B1CE9" w:rsidRPr="00286F5D">
                    <w:t>includes a list of tasks associated with the various</w:t>
                  </w:r>
                  <w:r w:rsidR="00D0381D" w:rsidRPr="00286F5D">
                    <w:t xml:space="preserve"> energy audit</w:t>
                  </w:r>
                  <w:r w:rsidR="003B1CE9" w:rsidRPr="00286F5D">
                    <w:t xml:space="preserve"> levels</w:t>
                  </w:r>
                  <w:r w:rsidR="00924425">
                    <w:t>, including recommendations for energy audit best practices, with resources for energy auditors and building owners</w:t>
                  </w:r>
                  <w:r w:rsidR="003B1CE9" w:rsidRPr="00286F5D">
                    <w:t xml:space="preserve">. </w:t>
                  </w:r>
                  <w:r w:rsidR="00924425">
                    <w:t xml:space="preserve">The publication includes sample outlines, analytical approaches, economic evaluation methods and sample energy audit data collection and reporting forms. </w:t>
                  </w:r>
                  <w:r w:rsidR="00137E73">
                    <w:t xml:space="preserve">The ASHRAE Standard includes this information in a mandatory or code enforceable language. </w:t>
                  </w:r>
                </w:p>
                <w:p w14:paraId="27571C35" w14:textId="77777777" w:rsidR="003B1CE9" w:rsidRPr="00286F5D" w:rsidRDefault="003B1CE9" w:rsidP="003B1CE9"/>
                <w:p w14:paraId="53E1EB1A" w14:textId="0B425116" w:rsidR="003B1CE9" w:rsidRPr="00286F5D" w:rsidRDefault="001441DD" w:rsidP="003B1CE9">
                  <w:hyperlink r:id="rId7" w:history="1">
                    <w:r w:rsidR="00286F5D" w:rsidRPr="00286F5D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286F5D" w:rsidRPr="00286F5D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F02205" w:rsidRPr="00286F5D">
                    <w:t xml:space="preserve">, </w:t>
                  </w:r>
                  <w:r w:rsidR="00286F5D" w:rsidRPr="00286F5D">
                    <w:rPr>
                      <w:color w:val="000000"/>
                    </w:rPr>
                    <w:t xml:space="preserve">Chapter </w:t>
                  </w:r>
                  <w:hyperlink r:id="rId8" w:history="1">
                    <w:r w:rsidR="00286F5D" w:rsidRPr="00286F5D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7</w:t>
                    </w:r>
                  </w:hyperlink>
                  <w:r w:rsidR="007B5F25" w:rsidRPr="00286F5D">
                    <w:t xml:space="preserve">, Energy Use and Management, </w:t>
                  </w:r>
                  <w:r w:rsidR="003B1CE9" w:rsidRPr="00286F5D">
                    <w:t xml:space="preserve">includes a brief section on Surveys and Audits. The section very briefly describes energy audits, and provides a list of activities that each energy audit may include. </w:t>
                  </w:r>
                </w:p>
                <w:p w14:paraId="1D053A16" w14:textId="77777777" w:rsidR="00802D8F" w:rsidRPr="00286F5D" w:rsidRDefault="00802D8F" w:rsidP="00D0381D"/>
                <w:p w14:paraId="6C921836" w14:textId="77777777" w:rsidR="00132921" w:rsidRPr="00286F5D" w:rsidRDefault="001441DD">
                  <w:hyperlink r:id="rId9" w:history="1">
                    <w:r w:rsidR="00924425" w:rsidRPr="00286F5D">
                      <w:rPr>
                        <w:rStyle w:val="Hyperlink"/>
                      </w:rPr>
                      <w:t>Procedures for Commercial Building Energy Audits</w:t>
                    </w:r>
                  </w:hyperlink>
                  <w:r w:rsidR="00802D8F" w:rsidRPr="00286F5D">
                    <w:t xml:space="preserve">, </w:t>
                  </w:r>
                  <w:r w:rsidR="00137E73">
                    <w:t xml:space="preserve">the standard, </w:t>
                  </w:r>
                  <w:r w:rsidR="00924425">
                    <w:t xml:space="preserve">the </w:t>
                  </w:r>
                  <w:r w:rsidR="00802D8F" w:rsidRPr="00286F5D">
                    <w:t xml:space="preserve">handbook and all ASHRAE publications may be purchased and downloaded on-line at our website, </w:t>
                  </w:r>
                  <w:hyperlink r:id="rId10" w:history="1">
                    <w:hyperlink r:id="rId11" w:history="1">
                      <w:r w:rsidR="00802D8F" w:rsidRPr="00286F5D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 w:rsidR="00802D8F" w:rsidRPr="00286F5D">
                    <w:t xml:space="preserve"> or by calling 1-800-527-4723 in the USA and Canada or 1-404-636-8400 worldwide.</w:t>
                  </w:r>
                  <w:r w:rsidR="00132921">
                    <w:t xml:space="preserve"> </w:t>
                  </w:r>
                </w:p>
              </w:tc>
            </w:tr>
            <w:tr w:rsidR="00B26F66" w14:paraId="41698531" w14:textId="77777777" w:rsidTr="00F02205">
              <w:trPr>
                <w:gridAfter w:val="1"/>
                <w:wAfter w:w="347" w:type="pct"/>
                <w:trHeight w:val="21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10B31641" w14:textId="77777777" w:rsidR="00B26F66" w:rsidRPr="00286F5D" w:rsidRDefault="001441DD">
                  <w:r>
                    <w:pict w14:anchorId="48E84EC3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6C0161B3" w14:textId="77777777" w:rsidTr="00F02205">
              <w:trPr>
                <w:gridAfter w:val="1"/>
                <w:wAfter w:w="347" w:type="pct"/>
                <w:trHeight w:val="396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082790E1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70EDC6AD" w14:textId="77777777" w:rsidR="00F02205" w:rsidRDefault="001441DD">
                  <w:hyperlink r:id="rId12" w:history="1">
                    <w:r w:rsidR="00B84961" w:rsidRPr="00286F5D">
                      <w:rPr>
                        <w:rStyle w:val="Hyperlink"/>
                      </w:rPr>
                      <w:t>Procedures for Commercial Building Energy Audits</w:t>
                    </w:r>
                  </w:hyperlink>
                </w:p>
                <w:p w14:paraId="6CEBCADD" w14:textId="77777777" w:rsidR="00B84961" w:rsidRPr="00286F5D" w:rsidRDefault="00B84961">
                  <w:pPr>
                    <w:rPr>
                      <w:i/>
                    </w:rPr>
                  </w:pPr>
                </w:p>
                <w:p w14:paraId="2CD26F68" w14:textId="2638D313" w:rsidR="003B1CE9" w:rsidRDefault="001441DD" w:rsidP="00922EAF">
                  <w:hyperlink r:id="rId13" w:history="1">
                    <w:r w:rsidR="00286F5D" w:rsidRPr="00286F5D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286F5D" w:rsidRPr="00286F5D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286F5D" w:rsidRPr="00286F5D">
                    <w:t xml:space="preserve">, </w:t>
                  </w:r>
                  <w:r w:rsidR="00286F5D" w:rsidRPr="00286F5D">
                    <w:rPr>
                      <w:color w:val="000000"/>
                    </w:rPr>
                    <w:t xml:space="preserve">Chapter </w:t>
                  </w:r>
                  <w:hyperlink r:id="rId14" w:history="1">
                    <w:r w:rsidR="00071217" w:rsidRPr="00286F5D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7</w:t>
                    </w:r>
                  </w:hyperlink>
                  <w:r w:rsidR="00286F5D" w:rsidRPr="00286F5D">
                    <w:t>,</w:t>
                  </w:r>
                </w:p>
                <w:p w14:paraId="2008AAA5" w14:textId="77777777" w:rsidR="00137E73" w:rsidRDefault="00137E73" w:rsidP="00922EAF"/>
                <w:p w14:paraId="078748D2" w14:textId="0B1E830F" w:rsidR="00137E73" w:rsidRPr="00286F5D" w:rsidRDefault="001441DD" w:rsidP="00922EAF">
                  <w:hyperlink r:id="rId15" w:history="1">
                    <w:r w:rsidRPr="001441DD">
                      <w:rPr>
                        <w:rStyle w:val="Hyperlink"/>
                      </w:rPr>
                      <w:t>ASHRAE Standard 211-2018 (RA2023)</w:t>
                    </w:r>
                    <w:r w:rsidR="00137E73" w:rsidRPr="00137E73">
                      <w:rPr>
                        <w:rStyle w:val="Hyperlink"/>
                      </w:rPr>
                      <w:t>,</w:t>
                    </w:r>
                  </w:hyperlink>
                  <w:r w:rsidR="00137E73">
                    <w:t xml:space="preserve"> Standard for Commercial Building Energy Audits</w:t>
                  </w:r>
                </w:p>
              </w:tc>
            </w:tr>
            <w:tr w:rsidR="00B26F66" w14:paraId="101BF56E" w14:textId="77777777" w:rsidTr="00F02205">
              <w:trPr>
                <w:gridAfter w:val="1"/>
                <w:wAfter w:w="347" w:type="pct"/>
                <w:trHeight w:val="198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0C0DFFD3" w14:textId="77777777" w:rsidR="00B26F66" w:rsidRPr="001F1042" w:rsidRDefault="001441DD">
                  <w:r>
                    <w:pict w14:anchorId="13227352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219F0E0F" w14:textId="77777777" w:rsidTr="00F02205">
              <w:trPr>
                <w:gridAfter w:val="1"/>
                <w:wAfter w:w="347" w:type="pct"/>
                <w:trHeight w:val="396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1BA34425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17A0858" w14:textId="77777777" w:rsidR="00B26F66" w:rsidRPr="001F1042" w:rsidRDefault="007B5F25">
                  <w:r>
                    <w:rPr>
                      <w:color w:val="000000"/>
                    </w:rPr>
                    <w:t xml:space="preserve">Energy Audit, Level </w:t>
                  </w:r>
                  <w:r w:rsidR="00924425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, </w:t>
                  </w:r>
                  <w:r w:rsidR="00924425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, </w:t>
                  </w:r>
                  <w:r w:rsidR="00924425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 xml:space="preserve">, </w:t>
                  </w:r>
                  <w:r w:rsidR="00802D8F">
                    <w:rPr>
                      <w:color w:val="000000"/>
                    </w:rPr>
                    <w:t>walk-through, energy survey</w:t>
                  </w:r>
                </w:p>
              </w:tc>
            </w:tr>
            <w:tr w:rsidR="00B26F66" w14:paraId="6E492C2E" w14:textId="77777777" w:rsidTr="00F02205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DEB131D" w14:textId="77777777" w:rsidR="00B26F66" w:rsidRDefault="001441DD">
                  <w:r>
                    <w:pict w14:anchorId="2BAEDA85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60226D1E" w14:textId="77777777" w:rsidTr="00F02205">
              <w:trPr>
                <w:gridAfter w:val="2"/>
                <w:wAfter w:w="669" w:type="pct"/>
                <w:trHeight w:val="2121"/>
                <w:tblCellSpacing w:w="0" w:type="dxa"/>
              </w:trPr>
              <w:tc>
                <w:tcPr>
                  <w:tcW w:w="433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63C9D9FC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830C93D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52A4EB9F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BF01106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5E16230E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1BC8B56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93A4692" w14:textId="77777777" w:rsidR="00B26F66" w:rsidRDefault="001441DD" w:rsidP="003B1CE9">
                        <w:hyperlink r:id="rId16" w:history="1">
                          <w:r w:rsidR="00137E73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BB23132" w14:textId="77777777" w:rsidR="00B26F66" w:rsidRDefault="00B26F66"/>
                    </w:tc>
                  </w:tr>
                  <w:tr w:rsidR="00B26F66" w14:paraId="65960C11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24BAC67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C219680" w14:textId="77777777" w:rsidR="00B26F66" w:rsidRDefault="001441DD" w:rsidP="003B1CE9">
                        <w:hyperlink r:id="rId17" w:history="1"/>
                      </w:p>
                    </w:tc>
                    <w:tc>
                      <w:tcPr>
                        <w:tcW w:w="2520" w:type="dxa"/>
                      </w:tcPr>
                      <w:p w14:paraId="2F979759" w14:textId="77777777" w:rsidR="00B26F66" w:rsidRDefault="00B26F66"/>
                    </w:tc>
                  </w:tr>
                  <w:tr w:rsidR="00B26F66" w14:paraId="595C3A0C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859E71B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C03C51C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77AD95E4" w14:textId="77777777" w:rsidR="00B26F66" w:rsidRDefault="00B26F66"/>
                    </w:tc>
                  </w:tr>
                  <w:tr w:rsidR="00B26F66" w14:paraId="48C800DF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22BBFB1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365C145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1B430FC" w14:textId="77777777" w:rsidR="00B26F66" w:rsidRDefault="00B26F66"/>
                    </w:tc>
                  </w:tr>
                  <w:tr w:rsidR="00B26F66" w14:paraId="5BFD92E6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BD6563C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8B712DE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25B84AD" w14:textId="77777777" w:rsidR="00B26F66" w:rsidRDefault="00B26F66"/>
                    </w:tc>
                  </w:tr>
                </w:tbl>
                <w:p w14:paraId="29F96848" w14:textId="77777777" w:rsidR="00B26F66" w:rsidRDefault="00B26F66"/>
              </w:tc>
            </w:tr>
          </w:tbl>
          <w:p w14:paraId="23C1055F" w14:textId="77777777" w:rsidR="00B26F66" w:rsidRDefault="00B26F66"/>
        </w:tc>
        <w:tc>
          <w:tcPr>
            <w:tcW w:w="0" w:type="auto"/>
            <w:vAlign w:val="center"/>
          </w:tcPr>
          <w:p w14:paraId="3EF7CF73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40AEB16B" w14:textId="77777777" w:rsidR="00B26F66" w:rsidRPr="005E4570" w:rsidRDefault="00B26F66" w:rsidP="00386E1F">
      <w:pPr>
        <w:tabs>
          <w:tab w:val="left" w:pos="2540"/>
        </w:tabs>
        <w:rPr>
          <w:rFonts w:ascii="Arial" w:hAnsi="Arial" w:cs="Arial"/>
        </w:rPr>
      </w:pPr>
    </w:p>
    <w:sectPr w:rsidR="00B26F66" w:rsidRPr="005E4570" w:rsidSect="00386E1F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3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71217"/>
    <w:rsid w:val="00093487"/>
    <w:rsid w:val="000A20A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2921"/>
    <w:rsid w:val="00133B32"/>
    <w:rsid w:val="00136D1C"/>
    <w:rsid w:val="00137E73"/>
    <w:rsid w:val="001441DD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4F3F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86F5D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86E1F"/>
    <w:rsid w:val="003A0081"/>
    <w:rsid w:val="003A1FF8"/>
    <w:rsid w:val="003A2FCC"/>
    <w:rsid w:val="003A7837"/>
    <w:rsid w:val="003B1CE9"/>
    <w:rsid w:val="003B7412"/>
    <w:rsid w:val="003C17CA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62A4D"/>
    <w:rsid w:val="004816F2"/>
    <w:rsid w:val="004A37B0"/>
    <w:rsid w:val="004A4C42"/>
    <w:rsid w:val="004B7D56"/>
    <w:rsid w:val="004F534E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08DF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802D8F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22EAF"/>
    <w:rsid w:val="009244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D555F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731E6"/>
    <w:rsid w:val="00A83D39"/>
    <w:rsid w:val="00AC6438"/>
    <w:rsid w:val="00AF77C5"/>
    <w:rsid w:val="00B02942"/>
    <w:rsid w:val="00B03616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84961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0381D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2205"/>
    <w:rsid w:val="00F033B0"/>
    <w:rsid w:val="00F0454E"/>
    <w:rsid w:val="00F070C1"/>
    <w:rsid w:val="00F16773"/>
    <w:rsid w:val="00F200D0"/>
    <w:rsid w:val="00F20FB8"/>
    <w:rsid w:val="00F31FFB"/>
    <w:rsid w:val="00F455AD"/>
    <w:rsid w:val="00F544EB"/>
    <w:rsid w:val="00F62AEB"/>
    <w:rsid w:val="00F64BF0"/>
    <w:rsid w:val="00F75CFB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1813D4E"/>
  <w15:chartTrackingRefBased/>
  <w15:docId w15:val="{52074611-5CA7-4BA8-A0FA-769AB705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  <w:style w:type="character" w:styleId="CommentReference">
    <w:name w:val="annotation reference"/>
    <w:rsid w:val="00802D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2D8F"/>
  </w:style>
  <w:style w:type="paragraph" w:styleId="BalloonText">
    <w:name w:val="Balloon Text"/>
    <w:basedOn w:val="Normal"/>
    <w:link w:val="BalloonTextChar"/>
    <w:rsid w:val="00802D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02D8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4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37-energy-use-and-management-i-p?product_id=2573526" TargetMode="External"/><Relationship Id="rId13" Type="http://schemas.openxmlformats.org/officeDocument/2006/relationships/hyperlink" Target="https://www.techstreet.com/ashrae/standards/2023-ashrae-handbook-hvac-applications-i-p?product_id=22256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2023-ashrae-handbook-hvac-applications-i-p?product_id=2225673" TargetMode="External"/><Relationship Id="rId12" Type="http://schemas.openxmlformats.org/officeDocument/2006/relationships/hyperlink" Target="http://www.techstreet.com/products/1809206" TargetMode="External"/><Relationship Id="rId17" Type="http://schemas.openxmlformats.org/officeDocument/2006/relationships/hyperlink" Target="http://www.ashrae.org/members/page/3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c0706.ashraet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chstreet.com/products/1809206" TargetMode="External"/><Relationship Id="rId11" Type="http://schemas.openxmlformats.org/officeDocument/2006/relationships/hyperlink" Target="file:///\\Ashrae100\technology$\Tech%20Srvs\Steve%20Winter%202010\FAQs\April%202010\www.ashrae.org" TargetMode="External"/><Relationship Id="rId5" Type="http://schemas.openxmlformats.org/officeDocument/2006/relationships/hyperlink" Target="https://www.techstreet.com/ashrae/standards/ashrae-211-2018?product_id=2016437" TargetMode="External"/><Relationship Id="rId15" Type="http://schemas.openxmlformats.org/officeDocument/2006/relationships/hyperlink" Target="https://www.techstreet.com/ashrae/standards/ashrae-211-2018?product_id=2016437" TargetMode="External"/><Relationship Id="rId10" Type="http://schemas.openxmlformats.org/officeDocument/2006/relationships/hyperlink" Target="file:///\\Ashrae100\technology$\Tech%20Srvs\Steve%20Winter%202010\FAQs\April%202010\www.ashra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products/1809206" TargetMode="External"/><Relationship Id="rId14" Type="http://schemas.openxmlformats.org/officeDocument/2006/relationships/hyperlink" Target="https://www.techstreet.com/ashrae/standards/a37-energy-use-and-management-i-p?product_id=2573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3026</CharactersWithSpaces>
  <SharedDoc>false</SharedDoc>
  <HLinks>
    <vt:vector size="96" baseType="variant">
      <vt:variant>
        <vt:i4>7077920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http://www.ashrae.org/members/page/321</vt:lpwstr>
      </vt:variant>
      <vt:variant>
        <vt:lpwstr/>
      </vt:variant>
      <vt:variant>
        <vt:i4>5767255</vt:i4>
      </vt:variant>
      <vt:variant>
        <vt:i4>42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2621450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http://www.techstreet.com/cgi-bin/detail?product_id=1801399</vt:lpwstr>
      </vt:variant>
      <vt:variant>
        <vt:lpwstr/>
      </vt:variant>
      <vt:variant>
        <vt:i4>3014664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https://eweb.ashrae.org/eweb/DynamicPage.aspx?webCode=ProductDescr&amp;prc_prd_key=c48d3341-bc80-44c4-a5fe-427525c09eb7</vt:lpwstr>
      </vt:variant>
      <vt:variant>
        <vt:lpwstr/>
      </vt:variant>
      <vt:variant>
        <vt:i4>2162689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http://www.techstreet.com/cgi-bin/detail?product_id=1716987</vt:lpwstr>
      </vt:variant>
      <vt:variant>
        <vt:lpwstr/>
      </vt:variant>
      <vt:variant>
        <vt:i4>2883627</vt:i4>
      </vt:variant>
      <vt:variant>
        <vt:i4>27</vt:i4>
      </vt:variant>
      <vt:variant>
        <vt:i4>0</vt:i4>
      </vt:variant>
      <vt:variant>
        <vt:i4>5</vt:i4>
      </vt:variant>
      <vt:variant>
        <vt:lpwstr>https://eweb.ashrae.org/eweb/DynamicPage.aspx?webCode=ProductDescr&amp;prc_prd_key=3456ab57-4107-43d3-95f8-ae22ffc9885d</vt:lpwstr>
      </vt:variant>
      <vt:variant>
        <vt:lpwstr/>
      </vt:variant>
      <vt:variant>
        <vt:i4>3997756</vt:i4>
      </vt:variant>
      <vt:variant>
        <vt:i4>23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21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http://www.ashrae.org/research</vt:lpwstr>
      </vt:variant>
      <vt:variant>
        <vt:lpwstr/>
      </vt:variant>
      <vt:variant>
        <vt:i4>2228233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http://www.techstreet.com/cgi-bin/detail?product_id=1715180</vt:lpwstr>
      </vt:variant>
      <vt:variant>
        <vt:lpwstr/>
      </vt:variant>
      <vt:variant>
        <vt:i4>2686987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http://www.techstreet.com/cgi-bin/detail?product_id=1809206</vt:lpwstr>
      </vt:variant>
      <vt:variant>
        <vt:lpwstr/>
      </vt:variant>
      <vt:variant>
        <vt:i4>2162689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http://www.techstreet.com/cgi-bin/detail?product_id=1716987</vt:lpwstr>
      </vt:variant>
      <vt:variant>
        <vt:lpwstr/>
      </vt:variant>
      <vt:variant>
        <vt:i4>2621450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http://www.techstreet.com/cgi-bin/detail?product_id=1801399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http://www.techstreet.com/cgi-bin/detail?product_id=1809206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Steve Hammerling</cp:lastModifiedBy>
  <cp:revision>5</cp:revision>
  <cp:lastPrinted>2014-05-27T12:57:00Z</cp:lastPrinted>
  <dcterms:created xsi:type="dcterms:W3CDTF">2016-12-30T20:32:00Z</dcterms:created>
  <dcterms:modified xsi:type="dcterms:W3CDTF">2023-10-22T17:39:00Z</dcterms:modified>
</cp:coreProperties>
</file>