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0967F95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3C14B05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798869B3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2096091D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4D4BE50" w14:textId="77777777" w:rsidR="00103601" w:rsidRDefault="00F054BD">
                  <w:r>
                    <w:pict w14:anchorId="59D808AE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7C3B45A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6E84F5D" w14:textId="77777777" w:rsidR="00103601" w:rsidRDefault="0010360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939749C" w14:textId="77777777" w:rsidR="00103601" w:rsidRDefault="00103601">
                  <w:r>
                    <w:t>26</w:t>
                  </w:r>
                </w:p>
              </w:tc>
            </w:tr>
            <w:tr w:rsidR="00103601" w14:paraId="44A4252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8EB4434" w14:textId="77777777" w:rsidR="00103601" w:rsidRDefault="00F054BD">
                  <w:r>
                    <w:pict w14:anchorId="4FD1E46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1BBE83C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8332894" w14:textId="77777777" w:rsidR="00103601" w:rsidRDefault="0010360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DA8B1ED" w14:textId="77777777" w:rsidR="00103601" w:rsidRDefault="00103601">
                  <w:r w:rsidRPr="00624C58">
                    <w:t>How much clearance must I have between the refrigerant relief and any opening to the occupied space?</w:t>
                  </w:r>
                </w:p>
              </w:tc>
            </w:tr>
            <w:tr w:rsidR="00103601" w14:paraId="51F19E7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6D12E7E" w14:textId="77777777" w:rsidR="00103601" w:rsidRDefault="00F054BD">
                  <w:r>
                    <w:pict w14:anchorId="42347659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252A98E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D5A3864" w14:textId="77777777" w:rsidR="00103601" w:rsidRDefault="0010360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9322E64" w14:textId="0ACA5188" w:rsidR="00103601" w:rsidRDefault="00965765" w:rsidP="00F054BD">
                  <w:pPr>
                    <w:autoSpaceDE w:val="0"/>
                    <w:autoSpaceDN w:val="0"/>
                    <w:adjustRightInd w:val="0"/>
                  </w:pPr>
                  <w:r>
                    <w:t>Section 9.7.8</w:t>
                  </w:r>
                  <w:r w:rsidR="00F054BD">
                    <w:t>.2</w:t>
                  </w:r>
                  <w:r>
                    <w:t xml:space="preserve"> </w:t>
                  </w:r>
                  <w:r w:rsidRPr="009D713B">
                    <w:t xml:space="preserve">in </w:t>
                  </w:r>
                  <w:hyperlink r:id="rId4" w:history="1">
                    <w:r w:rsidR="00F054BD" w:rsidRPr="009D713B">
                      <w:rPr>
                        <w:rStyle w:val="Hyperlink"/>
                      </w:rPr>
                      <w:t>ASHRAE Standard 15-20</w:t>
                    </w:r>
                    <w:r w:rsidR="00F054BD">
                      <w:rPr>
                        <w:rStyle w:val="Hyperlink"/>
                      </w:rPr>
                      <w:t>22</w:t>
                    </w:r>
                  </w:hyperlink>
                  <w:r w:rsidRPr="009D713B">
                    <w:t xml:space="preserve"> prescribes a minimum separation distance of </w:t>
                  </w:r>
                  <w:r w:rsidR="00941352" w:rsidRPr="009D713B">
                    <w:t>20 ft (6.1 m)</w:t>
                  </w:r>
                  <w:r w:rsidRPr="009D713B">
                    <w:t>.  In addition, 9.7.8</w:t>
                  </w:r>
                  <w:r w:rsidR="00F054BD">
                    <w:t>.2</w:t>
                  </w:r>
                  <w:r w:rsidRPr="009D713B">
                    <w:t xml:space="preserve"> also indicates that the relief vent discharge </w:t>
                  </w:r>
                  <w:r w:rsidR="00F054BD">
                    <w:t xml:space="preserve">line </w:t>
                  </w:r>
                  <w:r w:rsidRPr="009D713B">
                    <w:t>“</w:t>
                  </w:r>
                  <w:r w:rsidR="00F054BD" w:rsidRPr="00F054BD">
                    <w:t>shall be made in a manner that prevents discharged refrigerant</w:t>
                  </w:r>
                  <w:r w:rsidR="00F054BD" w:rsidRPr="00F054BD">
                    <w:t xml:space="preserve"> </w:t>
                  </w:r>
                  <w:r w:rsidR="00F054BD" w:rsidRPr="00F054BD">
                    <w:t xml:space="preserve">from spraying directly onto </w:t>
                  </w:r>
                  <w:r w:rsidR="00F054BD" w:rsidRPr="00F054BD">
                    <w:t>personnel</w:t>
                  </w:r>
                  <w:r w:rsidR="00F054BD" w:rsidRPr="00F054BD">
                    <w:t xml:space="preserve"> that might be in the vicinity</w:t>
                  </w:r>
                  <w:r w:rsidRPr="009D713B">
                    <w:t>”</w:t>
                  </w:r>
                  <w:r w:rsidR="00F054BD">
                    <w:t>, and “</w:t>
                  </w:r>
                  <w:r w:rsidR="00F054BD" w:rsidRPr="00F054BD">
                    <w:t>shall be made in a manner that prevents foreign material or</w:t>
                  </w:r>
                  <w:r w:rsidR="00F054BD">
                    <w:t xml:space="preserve"> </w:t>
                  </w:r>
                  <w:r w:rsidR="00F054BD" w:rsidRPr="00F054BD">
                    <w:t>debris from entering the discharge piping.</w:t>
                  </w:r>
                  <w:r w:rsidR="00F054BD" w:rsidRPr="00F054BD">
                    <w:t xml:space="preserve"> </w:t>
                  </w:r>
                  <w:r w:rsidRPr="009D713B">
                    <w:t>Although not covered explicitly, it would be prudent to avoid pointing relief discharge piping outlets directly towards those openings leading to occupied spaces.</w:t>
                  </w:r>
                  <w:r w:rsidR="00941352" w:rsidRPr="009D713B">
                    <w:t xml:space="preserve"> </w:t>
                  </w:r>
                  <w:r w:rsidRPr="009D713B">
                    <w:t xml:space="preserve"> S</w:t>
                  </w:r>
                  <w:r w:rsidR="00941352" w:rsidRPr="009D713B">
                    <w:t>ee</w:t>
                  </w:r>
                  <w:r w:rsidR="00103601" w:rsidRPr="009D713B">
                    <w:t xml:space="preserve"> Section 9.7.8</w:t>
                  </w:r>
                  <w:r w:rsidR="00F054BD">
                    <w:t>.2</w:t>
                  </w:r>
                  <w:r w:rsidR="00103601" w:rsidRPr="009D713B">
                    <w:t xml:space="preserve"> and </w:t>
                  </w:r>
                  <w:r w:rsidRPr="009D713B">
                    <w:t xml:space="preserve">normative </w:t>
                  </w:r>
                  <w:r w:rsidR="00790151" w:rsidRPr="009D713B">
                    <w:t xml:space="preserve">Appendix </w:t>
                  </w:r>
                  <w:r w:rsidRPr="009D713B">
                    <w:t xml:space="preserve">E in </w:t>
                  </w:r>
                  <w:hyperlink r:id="rId5" w:history="1">
                    <w:r w:rsidRPr="009D713B">
                      <w:rPr>
                        <w:rStyle w:val="Hyperlink"/>
                      </w:rPr>
                      <w:t>ASHRAE 15</w:t>
                    </w:r>
                  </w:hyperlink>
                  <w:r w:rsidRPr="009D713B">
                    <w:t xml:space="preserve"> </w:t>
                  </w:r>
                  <w:r w:rsidR="00790151">
                    <w:t xml:space="preserve">for </w:t>
                  </w:r>
                  <w:r>
                    <w:t xml:space="preserve">further </w:t>
                  </w:r>
                  <w:r w:rsidR="00790151">
                    <w:t xml:space="preserve">details </w:t>
                  </w:r>
                  <w:r w:rsidR="00103601" w:rsidRPr="00624C58">
                    <w:t>and/or exceptions</w:t>
                  </w:r>
                  <w:r>
                    <w:t xml:space="preserve"> on relief vent piping</w:t>
                  </w:r>
                  <w:r w:rsidR="00103601" w:rsidRPr="00624C58">
                    <w:t>.</w:t>
                  </w:r>
                  <w:r w:rsidR="00103601" w:rsidRPr="00624C58">
                    <w:br/>
                  </w:r>
                  <w:r w:rsidR="00103601" w:rsidRPr="00624C58">
                    <w:br/>
                    <w:t xml:space="preserve">Copies of the standard and the latest addenda may be purchased and downloaded on-line at our website, </w:t>
                  </w:r>
                  <w:hyperlink r:id="rId6" w:history="1">
                    <w:r w:rsidR="00941352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941352">
                    <w:t xml:space="preserve"> </w:t>
                  </w:r>
                  <w:r w:rsidR="00103601" w:rsidRPr="00624C58">
                    <w:t xml:space="preserve">or by calling 1-800-527-4723 in the USA and Canada or 1-404-636-8400 worldwide. </w:t>
                  </w:r>
                  <w:r w:rsidR="00CD4B70">
                    <w:t>Current a</w:t>
                  </w:r>
                  <w:r w:rsidR="00103601" w:rsidRPr="00624C58">
                    <w:t>ddenda to the standards may be downloaded for free.</w:t>
                  </w:r>
                </w:p>
              </w:tc>
            </w:tr>
            <w:tr w:rsidR="00103601" w14:paraId="138FAB0D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E38C94E" w14:textId="77777777" w:rsidR="00103601" w:rsidRDefault="00F054BD">
                  <w:r>
                    <w:pict w14:anchorId="71AD04E1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371824C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9A1D2FD" w14:textId="77777777" w:rsidR="00103601" w:rsidRDefault="0010360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27EF68" w14:textId="0911E63B" w:rsidR="00103601" w:rsidRDefault="00F054BD" w:rsidP="00864BED">
                  <w:hyperlink r:id="rId7" w:history="1">
                    <w:r w:rsidRPr="009D713B">
                      <w:rPr>
                        <w:rStyle w:val="Hyperlink"/>
                      </w:rPr>
                      <w:t>ASHRAE Standard 15-20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103601" w:rsidRPr="009D713B">
                    <w:t xml:space="preserve">, </w:t>
                  </w:r>
                  <w:r w:rsidR="00103601" w:rsidRPr="00624C58">
                    <w:t xml:space="preserve">plus </w:t>
                  </w:r>
                  <w:hyperlink r:id="rId8" w:history="1">
                    <w:r w:rsidR="009D713B" w:rsidRPr="00122DC4">
                      <w:rPr>
                        <w:rStyle w:val="Hyperlink"/>
                      </w:rPr>
                      <w:t>ASHRAE BOD approved addenda</w:t>
                    </w:r>
                  </w:hyperlink>
                  <w:r w:rsidR="00103601" w:rsidRPr="00624C58">
                    <w:t>.</w:t>
                  </w:r>
                  <w:r w:rsidR="00103601" w:rsidRPr="00624C58">
                    <w:br/>
                  </w:r>
                  <w:r w:rsidR="00103601" w:rsidRPr="00624C58">
                    <w:br/>
                  </w:r>
                  <w:hyperlink r:id="rId9" w:history="1">
                    <w:r w:rsidR="00103601" w:rsidRPr="009D713B">
                      <w:rPr>
                        <w:rStyle w:val="Hyperlink"/>
                      </w:rPr>
                      <w:t>User’s Manual for ASHRAE Standard 15-2001</w:t>
                    </w:r>
                  </w:hyperlink>
                  <w:r w:rsidR="00103601" w:rsidRPr="009D713B">
                    <w:t xml:space="preserve">, </w:t>
                  </w:r>
                  <w:r w:rsidR="00103601" w:rsidRPr="00624C58">
                    <w:t>Safety Standard for Refrigeration Systems</w:t>
                  </w:r>
                </w:p>
              </w:tc>
            </w:tr>
            <w:tr w:rsidR="00103601" w14:paraId="5F389E3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44892E8" w14:textId="77777777" w:rsidR="00103601" w:rsidRDefault="00F054BD">
                  <w:r>
                    <w:pict w14:anchorId="15A10FB2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47D4617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A1B1002" w14:textId="77777777" w:rsidR="00103601" w:rsidRDefault="0010360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B41D6A6" w14:textId="77777777" w:rsidR="00103601" w:rsidRDefault="00103601">
                  <w:r w:rsidRPr="00624C58">
                    <w:t>Refrigerant safety code</w:t>
                  </w:r>
                </w:p>
              </w:tc>
            </w:tr>
            <w:tr w:rsidR="00103601" w14:paraId="6F9DDE0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9AAFC4D" w14:textId="77777777" w:rsidR="00103601" w:rsidRDefault="00F054BD">
                  <w:r>
                    <w:pict w14:anchorId="5EE3DF2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14:paraId="46D87982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103601" w14:paraId="7920CEF2" w14:textId="77777777" w:rsidTr="003F38E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65C8EE3" w14:textId="77777777" w:rsidR="00103601" w:rsidRDefault="00103601"/>
                    </w:tc>
                    <w:tc>
                      <w:tcPr>
                        <w:tcW w:w="3600" w:type="dxa"/>
                      </w:tcPr>
                      <w:p w14:paraId="77E25F2C" w14:textId="77777777" w:rsidR="00103601" w:rsidRDefault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26A0A7A" w14:textId="77777777" w:rsidR="00103601" w:rsidRDefault="00103601">
                        <w:r>
                          <w:t>Refer to Organization</w:t>
                        </w:r>
                      </w:p>
                    </w:tc>
                  </w:tr>
                  <w:tr w:rsidR="00F12DCF" w14:paraId="3BA9CBF5" w14:textId="77777777" w:rsidTr="003F38E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AB017F1" w14:textId="77777777" w:rsidR="00F12DCF" w:rsidRDefault="00F12DCF" w:rsidP="00F12DCF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0936678" w14:textId="77777777" w:rsidR="00F12DCF" w:rsidRDefault="00F054BD" w:rsidP="00F12DCF">
                        <w:hyperlink r:id="rId10" w:history="1">
                          <w:r w:rsidR="00F12DCF">
                            <w:rPr>
                              <w:rStyle w:val="Hyperlink"/>
                            </w:rPr>
                            <w:t>TC 10.1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1CEF56A" w14:textId="77777777" w:rsidR="00F12DCF" w:rsidRDefault="00F12DCF" w:rsidP="00F12DCF"/>
                    </w:tc>
                  </w:tr>
                  <w:tr w:rsidR="00F12DCF" w14:paraId="5D3AC050" w14:textId="77777777" w:rsidTr="003F38E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C0257C8" w14:textId="77777777" w:rsidR="00F12DCF" w:rsidRDefault="00F12DCF" w:rsidP="00F12DCF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0EE9570" w14:textId="77777777" w:rsidR="00F12DCF" w:rsidRDefault="00F054BD" w:rsidP="00F12DCF">
                        <w:hyperlink r:id="rId11" w:history="1">
                          <w:r w:rsidR="00F12DCF">
                            <w:rPr>
                              <w:rStyle w:val="Hyperlink"/>
                            </w:rPr>
                            <w:t>TC 9.1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BE78DE0" w14:textId="77777777" w:rsidR="00F12DCF" w:rsidRDefault="00F12DCF" w:rsidP="00F12DCF"/>
                    </w:tc>
                  </w:tr>
                  <w:tr w:rsidR="00103601" w14:paraId="4DDDEAFF" w14:textId="77777777" w:rsidTr="003F38E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1F09E9F" w14:textId="77777777" w:rsidR="00103601" w:rsidRDefault="0010360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7020044" w14:textId="77777777" w:rsidR="00103601" w:rsidRDefault="00103601">
                        <w:r>
                          <w:t>SSPC 15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2D12DFC" w14:textId="77777777" w:rsidR="00103601" w:rsidRDefault="00103601"/>
                    </w:tc>
                  </w:tr>
                  <w:tr w:rsidR="00103601" w14:paraId="570C6A6F" w14:textId="77777777" w:rsidTr="003F38E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58D194B" w14:textId="77777777" w:rsidR="00103601" w:rsidRDefault="0010360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110383A" w14:textId="77777777" w:rsidR="00103601" w:rsidRDefault="00103601">
                        <w:r>
                          <w:t>SSPC 34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649C4B8" w14:textId="77777777" w:rsidR="00103601" w:rsidRDefault="00103601"/>
                    </w:tc>
                  </w:tr>
                  <w:tr w:rsidR="00103601" w14:paraId="5CC8CF6A" w14:textId="77777777" w:rsidTr="003F38E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5C08E2" w14:textId="77777777" w:rsidR="00103601" w:rsidRDefault="0010360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FCD706F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375F4437" w14:textId="77777777" w:rsidR="00103601" w:rsidRDefault="00103601"/>
                    </w:tc>
                  </w:tr>
                </w:tbl>
                <w:p w14:paraId="1ECA02C1" w14:textId="77777777" w:rsidR="00103601" w:rsidRDefault="00103601"/>
              </w:tc>
            </w:tr>
            <w:tr w:rsidR="00103601" w14:paraId="7BAC94DA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9BA506E" w14:textId="77777777" w:rsidR="00103601" w:rsidRDefault="00103601"/>
              </w:tc>
            </w:tr>
          </w:tbl>
          <w:p w14:paraId="26D76A01" w14:textId="77777777" w:rsidR="00103601" w:rsidRDefault="00103601"/>
        </w:tc>
        <w:tc>
          <w:tcPr>
            <w:tcW w:w="0" w:type="auto"/>
            <w:vAlign w:val="center"/>
          </w:tcPr>
          <w:p w14:paraId="310A771D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014BF3E3" w14:textId="77777777" w:rsidR="00103601" w:rsidRPr="005E4570" w:rsidRDefault="00103601">
      <w:pPr>
        <w:rPr>
          <w:rFonts w:ascii="Arial" w:hAnsi="Arial" w:cs="Arial"/>
        </w:rPr>
      </w:pPr>
    </w:p>
    <w:sectPr w:rsidR="0010360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4E8"/>
    <w:rsid w:val="000078D1"/>
    <w:rsid w:val="000142F9"/>
    <w:rsid w:val="000232DD"/>
    <w:rsid w:val="00026B8D"/>
    <w:rsid w:val="000405EC"/>
    <w:rsid w:val="00043D6E"/>
    <w:rsid w:val="0005555B"/>
    <w:rsid w:val="00062556"/>
    <w:rsid w:val="000730C2"/>
    <w:rsid w:val="00074CEA"/>
    <w:rsid w:val="000A1B01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33B32"/>
    <w:rsid w:val="00136D1C"/>
    <w:rsid w:val="001538C4"/>
    <w:rsid w:val="001649B3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E57AD"/>
    <w:rsid w:val="002F4E1B"/>
    <w:rsid w:val="002F6C9C"/>
    <w:rsid w:val="003117BC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3F38EE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919DA"/>
    <w:rsid w:val="004A37B0"/>
    <w:rsid w:val="004A4C42"/>
    <w:rsid w:val="004F534E"/>
    <w:rsid w:val="00526CA2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381"/>
    <w:rsid w:val="005F6297"/>
    <w:rsid w:val="00605E34"/>
    <w:rsid w:val="00634806"/>
    <w:rsid w:val="00650ACA"/>
    <w:rsid w:val="00690A01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149D"/>
    <w:rsid w:val="00724256"/>
    <w:rsid w:val="0073616E"/>
    <w:rsid w:val="007467D8"/>
    <w:rsid w:val="00757A1E"/>
    <w:rsid w:val="007630B1"/>
    <w:rsid w:val="007712CD"/>
    <w:rsid w:val="007776A6"/>
    <w:rsid w:val="0078711F"/>
    <w:rsid w:val="00790151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64BED"/>
    <w:rsid w:val="0087000C"/>
    <w:rsid w:val="008701B3"/>
    <w:rsid w:val="00881807"/>
    <w:rsid w:val="008A1C67"/>
    <w:rsid w:val="008A5008"/>
    <w:rsid w:val="008A784F"/>
    <w:rsid w:val="008B3AE9"/>
    <w:rsid w:val="008B4125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65765"/>
    <w:rsid w:val="00980872"/>
    <w:rsid w:val="009A0BC4"/>
    <w:rsid w:val="009B6C9C"/>
    <w:rsid w:val="009C1218"/>
    <w:rsid w:val="009D09C4"/>
    <w:rsid w:val="009D713B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D3946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41BCD"/>
    <w:rsid w:val="00C659F8"/>
    <w:rsid w:val="00C7107C"/>
    <w:rsid w:val="00C85732"/>
    <w:rsid w:val="00CB0012"/>
    <w:rsid w:val="00CD2F5E"/>
    <w:rsid w:val="00CD4B70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91527"/>
    <w:rsid w:val="00EA3DD3"/>
    <w:rsid w:val="00EB1B76"/>
    <w:rsid w:val="00EB72AB"/>
    <w:rsid w:val="00EB7677"/>
    <w:rsid w:val="00EF33A2"/>
    <w:rsid w:val="00F00D4E"/>
    <w:rsid w:val="00F0454E"/>
    <w:rsid w:val="00F054BD"/>
    <w:rsid w:val="00F070C1"/>
    <w:rsid w:val="00F12DCF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A64E8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17516A6"/>
  <w15:docId w15:val="{ADB521DD-797E-443E-A2C9-94F9E53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E34"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036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5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5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D7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shrae-15-2022-packaged-w-standard-34-2022?product_id=25040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hyperlink" Target="https://tc0901.ashraetcs.org/" TargetMode="External"/><Relationship Id="rId5" Type="http://schemas.openxmlformats.org/officeDocument/2006/relationships/hyperlink" Target="https://www.techstreet.com/ashrae/standards/ashrae-15-2022-packaged-w-standard-34-2022?product_id=2504061" TargetMode="External"/><Relationship Id="rId10" Type="http://schemas.openxmlformats.org/officeDocument/2006/relationships/hyperlink" Target="https://tc1001.ashraetcs.org/" TargetMode="External"/><Relationship Id="rId4" Type="http://schemas.openxmlformats.org/officeDocument/2006/relationships/hyperlink" Target="https://www.techstreet.com/ashrae/standards/ashrae-15-2022-packaged-w-standard-34-2022?product_id=2504061" TargetMode="External"/><Relationship Id="rId9" Type="http://schemas.openxmlformats.org/officeDocument/2006/relationships/hyperlink" Target="http://www.techstreet.com/cgi-bin/detail?product_id=1703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2089</CharactersWithSpaces>
  <SharedDoc>false</SharedDoc>
  <HLinks>
    <vt:vector size="30" baseType="variant"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http://membership.ashrae.org/template/AssetDetail/assetid/23193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http://membership.ashrae.org/template/AssetDetail/assetid/23217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http://resourcecenter.ashrae.org/store/ashrae/newstore.cgi?itemid=9390&amp;view=item&amp;categoryid=311</vt:lpwstr>
      </vt:variant>
      <vt:variant>
        <vt:lpwstr/>
      </vt:variant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http://membership.ashrae.org/template/TechnologyLinkLanding/category/1631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5</cp:revision>
  <cp:lastPrinted>2011-07-18T13:59:00Z</cp:lastPrinted>
  <dcterms:created xsi:type="dcterms:W3CDTF">2014-05-27T18:54:00Z</dcterms:created>
  <dcterms:modified xsi:type="dcterms:W3CDTF">2023-10-19T22:43:00Z</dcterms:modified>
</cp:coreProperties>
</file>