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4"/>
        <w:gridCol w:w="6"/>
      </w:tblGrid>
      <w:tr w:rsidR="00103601" w14:paraId="750F409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AE16C94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02E321AB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644"/>
              <w:gridCol w:w="5488"/>
              <w:gridCol w:w="1262"/>
            </w:tblGrid>
            <w:tr w:rsidR="00103601" w14:paraId="405E8519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652E6827" w14:textId="77777777" w:rsidR="00103601" w:rsidRDefault="00E40995">
                  <w:pPr>
                    <w:jc w:val="center"/>
                  </w:pPr>
                  <w:r>
                    <w:pict w14:anchorId="38538EF1">
                      <v:rect id="_x0000_i1025" style="width:497.7pt;height:1.5pt" o:hralign="center" o:hrstd="t" o:hr="t" fillcolor="#aca899" stroked="f"/>
                    </w:pict>
                  </w:r>
                </w:p>
              </w:tc>
            </w:tr>
            <w:tr w:rsidR="00103601" w14:paraId="771B8BA5" w14:textId="77777777">
              <w:trPr>
                <w:tblCellSpacing w:w="0" w:type="dxa"/>
              </w:trPr>
              <w:tc>
                <w:tcPr>
                  <w:tcW w:w="979" w:type="pct"/>
                  <w:vAlign w:val="center"/>
                </w:tcPr>
                <w:p w14:paraId="0524DD43" w14:textId="77777777" w:rsidR="00103601" w:rsidRDefault="00103601">
                  <w:r>
                    <w:t xml:space="preserve">ID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72490A42" w14:textId="77777777" w:rsidR="00103601" w:rsidRDefault="00103601">
                  <w:r>
                    <w:t>90</w:t>
                  </w:r>
                </w:p>
              </w:tc>
            </w:tr>
            <w:tr w:rsidR="00103601" w14:paraId="20E70F16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76C93AF0" w14:textId="77777777" w:rsidR="00103601" w:rsidRDefault="00E40995">
                  <w:pPr>
                    <w:jc w:val="center"/>
                  </w:pPr>
                  <w:r>
                    <w:pict w14:anchorId="789F89CA">
                      <v:rect id="_x0000_i1026" style="width:497.7pt;height:1.5pt" o:hralign="center" o:hrstd="t" o:hr="t" fillcolor="#aca899" stroked="f"/>
                    </w:pict>
                  </w:r>
                </w:p>
              </w:tc>
            </w:tr>
            <w:tr w:rsidR="00103601" w14:paraId="5060C3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B3A893F" w14:textId="77777777" w:rsidR="00103601" w:rsidRDefault="00103601">
                  <w:r>
                    <w:t xml:space="preserve">Question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6FB00FF3" w14:textId="77777777" w:rsidR="00103601" w:rsidRDefault="00103601">
                  <w:r>
                    <w:t xml:space="preserve">Are self contained breathing apparatuses (SCBA’s) required outside of refrigeration machinery rooms? </w:t>
                  </w:r>
                </w:p>
              </w:tc>
            </w:tr>
            <w:tr w:rsidR="00103601" w14:paraId="491CAAB6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2B4675A9" w14:textId="77777777" w:rsidR="00103601" w:rsidRDefault="00E40995">
                  <w:pPr>
                    <w:jc w:val="center"/>
                  </w:pPr>
                  <w:r>
                    <w:pict w14:anchorId="1B760D36">
                      <v:rect id="_x0000_i1027" style="width:497.7pt;height:1.5pt" o:hralign="center" o:hrstd="t" o:hr="t" fillcolor="#aca899" stroked="f"/>
                    </w:pict>
                  </w:r>
                </w:p>
              </w:tc>
            </w:tr>
            <w:tr w:rsidR="00103601" w14:paraId="1149ED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BCDEB8B" w14:textId="77777777" w:rsidR="00103601" w:rsidRDefault="00103601">
                  <w:r>
                    <w:t xml:space="preserve">Answer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55D2351F" w14:textId="090DE7D2" w:rsidR="00103601" w:rsidRPr="005A5824" w:rsidRDefault="00E40995">
                  <w:hyperlink r:id="rId4" w:history="1">
                    <w:r w:rsidRPr="009D713B">
                      <w:rPr>
                        <w:rStyle w:val="Hyperlink"/>
                      </w:rPr>
                      <w:t>ASHRAE Standard 15-20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103601" w:rsidRPr="005A5824">
                    <w:t xml:space="preserve">, Safety Standard for Refrigeration Systems, does not require that SCBA’s be placed outside of the refrigeration machinery room. </w:t>
                  </w:r>
                </w:p>
                <w:p w14:paraId="7C4CC963" w14:textId="77777777" w:rsidR="00103601" w:rsidRPr="005A5824" w:rsidRDefault="00103601"/>
                <w:p w14:paraId="28D6E715" w14:textId="77777777" w:rsidR="00103601" w:rsidRPr="005A5824" w:rsidRDefault="00103601">
                  <w:pPr>
                    <w:autoSpaceDE w:val="0"/>
                    <w:autoSpaceDN w:val="0"/>
                    <w:adjustRightInd w:val="0"/>
                    <w:ind w:left="35"/>
                  </w:pPr>
                  <w:r w:rsidRPr="005A5824">
                    <w:t>The 1994 version of the Standard did have a requirement for SCBA’s outside the machinery room (Section 11.6)</w:t>
                  </w:r>
                  <w:r w:rsidR="00317B70" w:rsidRPr="005A5824">
                    <w:t>,</w:t>
                  </w:r>
                  <w:r w:rsidRPr="005A5824">
                    <w:t xml:space="preserve"> but this requirement was eliminated from the Standard with the approval and publication of </w:t>
                  </w:r>
                  <w:hyperlink r:id="rId5" w:history="1">
                    <w:r w:rsidR="00C841A3" w:rsidRPr="005A5824">
                      <w:rPr>
                        <w:rStyle w:val="Hyperlink"/>
                      </w:rPr>
                      <w:t>Addendum 1</w:t>
                    </w:r>
                    <w:r w:rsidR="00C841A3" w:rsidRPr="005A5824">
                      <w:rPr>
                        <w:rStyle w:val="Hyperlink"/>
                      </w:rPr>
                      <w:t>5d</w:t>
                    </w:r>
                  </w:hyperlink>
                  <w:r w:rsidRPr="005A5824">
                    <w:t xml:space="preserve"> to ASHRAE Standard 15-1994 in 2000. </w:t>
                  </w:r>
                  <w:r w:rsidR="00CA7178" w:rsidRPr="005A5824">
                    <w:t xml:space="preserve"> It is important to note that the </w:t>
                  </w:r>
                  <w:r w:rsidR="00317B70" w:rsidRPr="005A5824">
                    <w:t>change to Standard 15 for</w:t>
                  </w:r>
                  <w:r w:rsidR="00E84E52" w:rsidRPr="005A5824">
                    <w:t xml:space="preserve"> </w:t>
                  </w:r>
                  <w:r w:rsidR="00CA7178" w:rsidRPr="005A5824">
                    <w:t>SCBA</w:t>
                  </w:r>
                  <w:r w:rsidR="00E84E52" w:rsidRPr="005A5824">
                    <w:t xml:space="preserve">s </w:t>
                  </w:r>
                  <w:r w:rsidR="00317B70" w:rsidRPr="005A5824">
                    <w:t xml:space="preserve">required </w:t>
                  </w:r>
                  <w:r w:rsidR="00E84E52" w:rsidRPr="005A5824">
                    <w:t>outside of machinery rooms</w:t>
                  </w:r>
                  <w:r w:rsidR="00CA7178" w:rsidRPr="005A5824">
                    <w:t xml:space="preserve"> does not imply that personal protective equipment is no longer needed.</w:t>
                  </w:r>
                  <w:r w:rsidR="00E84E52" w:rsidRPr="005A5824">
                    <w:t xml:space="preserve">  Specific requirements for respiratory protection are generally established by other agencies.</w:t>
                  </w:r>
                </w:p>
                <w:p w14:paraId="576BDDE1" w14:textId="77777777" w:rsidR="00103601" w:rsidRPr="005A5824" w:rsidRDefault="00103601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02BE4FE" w14:textId="77777777" w:rsidR="00103601" w:rsidRPr="005A5824" w:rsidRDefault="00103601">
                  <w:pPr>
                    <w:autoSpaceDE w:val="0"/>
                    <w:autoSpaceDN w:val="0"/>
                    <w:adjustRightInd w:val="0"/>
                    <w:ind w:left="49"/>
                  </w:pPr>
                </w:p>
                <w:p w14:paraId="0EFCBF77" w14:textId="77777777" w:rsidR="00103601" w:rsidRPr="005A5824" w:rsidRDefault="001F72B5">
                  <w:pPr>
                    <w:autoSpaceDE w:val="0"/>
                    <w:autoSpaceDN w:val="0"/>
                    <w:adjustRightInd w:val="0"/>
                    <w:ind w:left="49"/>
                  </w:pPr>
                  <w:r w:rsidRPr="005A5824">
                    <w:t xml:space="preserve">Copies of the standard and the latest addenda may be purchased and downloaded on-line at our website, </w:t>
                  </w:r>
                  <w:hyperlink r:id="rId6" w:history="1">
                    <w:r w:rsidRPr="005A5824">
                      <w:rPr>
                        <w:rStyle w:val="Hyperlink"/>
                      </w:rPr>
                      <w:t>www.ashrae.org</w:t>
                    </w:r>
                  </w:hyperlink>
                  <w:r w:rsidRPr="005A5824">
                    <w:t xml:space="preserve"> or by calling 1-800-527-4723 in the </w:t>
                  </w:r>
                  <w:smartTag w:uri="urn:schemas-microsoft-com:office:smarttags" w:element="country-region">
                    <w:r w:rsidRPr="005A5824">
                      <w:t>USA</w:t>
                    </w:r>
                  </w:smartTag>
                  <w:r w:rsidRPr="005A5824"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A5824">
                        <w:t>Canada</w:t>
                      </w:r>
                    </w:smartTag>
                  </w:smartTag>
                  <w:r w:rsidRPr="005A5824">
                    <w:t xml:space="preserve"> or 1-404-636-8400 worldwide. Current addenda to the standards may be downloaded for free.</w:t>
                  </w:r>
                </w:p>
              </w:tc>
            </w:tr>
            <w:tr w:rsidR="00103601" w14:paraId="5EE83DD1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5C37ACAD" w14:textId="77777777" w:rsidR="00103601" w:rsidRPr="005A5824" w:rsidRDefault="00E40995">
                  <w:pPr>
                    <w:jc w:val="center"/>
                  </w:pPr>
                  <w:r>
                    <w:pict w14:anchorId="1AE589CA">
                      <v:rect id="_x0000_i1028" style="width:497.7pt;height:1.5pt" o:hralign="center" o:hrstd="t" o:hr="t" fillcolor="#aca899" stroked="f"/>
                    </w:pict>
                  </w:r>
                </w:p>
              </w:tc>
            </w:tr>
            <w:tr w:rsidR="00103601" w14:paraId="6D03F5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E985405" w14:textId="77777777" w:rsidR="00103601" w:rsidRDefault="00103601">
                  <w:r>
                    <w:t xml:space="preserve">ASHRAE Pubs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04DBF62C" w14:textId="4523CB5A" w:rsidR="005A5824" w:rsidRPr="005A5824" w:rsidRDefault="00E40995">
                  <w:hyperlink r:id="rId7" w:history="1">
                    <w:r w:rsidRPr="009D713B">
                      <w:rPr>
                        <w:rStyle w:val="Hyperlink"/>
                      </w:rPr>
                      <w:t>ASHRAE Standard 15-20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5A5824" w:rsidRPr="005A5824">
                    <w:t xml:space="preserve">, plus </w:t>
                  </w:r>
                  <w:hyperlink r:id="rId8" w:history="1">
                    <w:r w:rsidR="005A5824" w:rsidRPr="005A5824">
                      <w:rPr>
                        <w:rStyle w:val="Hyperlink"/>
                      </w:rPr>
                      <w:t>ASHRAE BOD approved addenda</w:t>
                    </w:r>
                  </w:hyperlink>
                  <w:r w:rsidR="00103601" w:rsidRPr="005A5824">
                    <w:t xml:space="preserve">, </w:t>
                  </w:r>
                </w:p>
                <w:p w14:paraId="057FABDD" w14:textId="77777777" w:rsidR="005A5824" w:rsidRPr="005A5824" w:rsidRDefault="005A5824"/>
                <w:p w14:paraId="0DF0E167" w14:textId="77777777" w:rsidR="00103601" w:rsidRPr="005A5824" w:rsidRDefault="00E40995">
                  <w:hyperlink r:id="rId9" w:history="1">
                    <w:r w:rsidR="005A5824" w:rsidRPr="005A5824">
                      <w:rPr>
                        <w:rStyle w:val="Hyperlink"/>
                      </w:rPr>
                      <w:t>User’s Manual for ASHRAE Standard 15-2001</w:t>
                    </w:r>
                  </w:hyperlink>
                  <w:r w:rsidR="005A5824" w:rsidRPr="005A5824">
                    <w:t>, Safety Standard for Refrigeration Systems</w:t>
                  </w:r>
                </w:p>
              </w:tc>
            </w:tr>
            <w:tr w:rsidR="00103601" w14:paraId="48970DD7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4BDBC165" w14:textId="77777777" w:rsidR="00103601" w:rsidRDefault="00E40995">
                  <w:pPr>
                    <w:jc w:val="center"/>
                  </w:pPr>
                  <w:r>
                    <w:pict w14:anchorId="72E3D48F">
                      <v:rect id="_x0000_i1029" style="width:497.7pt;height:1.5pt" o:hralign="center" o:hrstd="t" o:hr="t" fillcolor="#aca899" stroked="f"/>
                    </w:pict>
                  </w:r>
                </w:p>
              </w:tc>
            </w:tr>
            <w:tr w:rsidR="00103601" w14:paraId="35AA1B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5FADC40" w14:textId="77777777" w:rsidR="00103601" w:rsidRDefault="00103601">
                  <w:r>
                    <w:t xml:space="preserve">Topic References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63E079B6" w14:textId="77777777" w:rsidR="00103601" w:rsidRDefault="00103601">
                  <w:r>
                    <w:t>Refrigeration, standard, self contained breathing apparatus (SCBA), mechanical room, refrigerants, safety.</w:t>
                  </w:r>
                </w:p>
              </w:tc>
            </w:tr>
            <w:tr w:rsidR="00103601" w14:paraId="4C1DB281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59F2A12A" w14:textId="77777777" w:rsidR="00103601" w:rsidRDefault="00E40995">
                  <w:pPr>
                    <w:jc w:val="center"/>
                  </w:pPr>
                  <w:r>
                    <w:pict w14:anchorId="295E6B69">
                      <v:rect id="_x0000_i1030" style="width:497.7pt;height:1.5pt" o:hralign="center" o:hrstd="t" o:hr="t" fillcolor="#aca899" stroked="f"/>
                    </w:pict>
                  </w:r>
                </w:p>
              </w:tc>
            </w:tr>
            <w:tr w:rsidR="00103601" w14:paraId="3DA8DD8F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2A55EE6F" w14:textId="77777777" w:rsidR="00103601" w:rsidRDefault="00103601">
                  <w:pPr>
                    <w:jc w:val="center"/>
                  </w:pPr>
                </w:p>
              </w:tc>
            </w:tr>
            <w:tr w:rsidR="00103601" w14:paraId="1B11AB16" w14:textId="77777777">
              <w:trPr>
                <w:gridAfter w:val="1"/>
                <w:tblCellSpacing w:w="0" w:type="dxa"/>
              </w:trPr>
              <w:tc>
                <w:tcPr>
                  <w:tcW w:w="4248" w:type="pct"/>
                  <w:gridSpan w:val="2"/>
                  <w:vAlign w:val="center"/>
                </w:tcPr>
                <w:tbl>
                  <w:tblPr>
                    <w:tblW w:w="660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1"/>
                    <w:gridCol w:w="3611"/>
                    <w:gridCol w:w="2528"/>
                  </w:tblGrid>
                  <w:tr w:rsidR="00103601" w14:paraId="1C298E84" w14:textId="77777777" w:rsidTr="00033479">
                    <w:trPr>
                      <w:trHeight w:val="282"/>
                      <w:jc w:val="center"/>
                    </w:trPr>
                    <w:tc>
                      <w:tcPr>
                        <w:tcW w:w="461" w:type="dxa"/>
                      </w:tcPr>
                      <w:p w14:paraId="12488A7F" w14:textId="77777777" w:rsidR="00103601" w:rsidRDefault="00103601" w:rsidP="00103601"/>
                    </w:tc>
                    <w:tc>
                      <w:tcPr>
                        <w:tcW w:w="3611" w:type="dxa"/>
                      </w:tcPr>
                      <w:p w14:paraId="03F5F1EC" w14:textId="77777777" w:rsidR="00103601" w:rsidRDefault="00103601" w:rsidP="0010360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0D4E9EAA" w14:textId="77777777" w:rsidR="00103601" w:rsidRDefault="00103601" w:rsidP="00103601">
                        <w:r>
                          <w:t>Refer to Organization</w:t>
                        </w:r>
                      </w:p>
                    </w:tc>
                  </w:tr>
                  <w:tr w:rsidR="002266D1" w14:paraId="5C6DB1EE" w14:textId="77777777" w:rsidTr="00033479">
                    <w:trPr>
                      <w:trHeight w:val="262"/>
                      <w:jc w:val="center"/>
                    </w:trPr>
                    <w:tc>
                      <w:tcPr>
                        <w:tcW w:w="461" w:type="dxa"/>
                      </w:tcPr>
                      <w:p w14:paraId="014D1E9F" w14:textId="77777777" w:rsidR="002266D1" w:rsidRDefault="002266D1" w:rsidP="002266D1">
                        <w:r>
                          <w:t>1</w:t>
                        </w:r>
                      </w:p>
                    </w:tc>
                    <w:tc>
                      <w:tcPr>
                        <w:tcW w:w="3611" w:type="dxa"/>
                      </w:tcPr>
                      <w:p w14:paraId="069C63E0" w14:textId="77777777" w:rsidR="002266D1" w:rsidRPr="003F0050" w:rsidRDefault="00E40995" w:rsidP="002266D1">
                        <w:hyperlink r:id="rId10" w:history="1">
                          <w:r w:rsidR="002266D1" w:rsidRPr="003F0050">
                            <w:rPr>
                              <w:rStyle w:val="Hyperlink"/>
                            </w:rPr>
                            <w:t>TC 10.1</w:t>
                          </w:r>
                        </w:hyperlink>
                      </w:p>
                    </w:tc>
                    <w:tc>
                      <w:tcPr>
                        <w:tcW w:w="2528" w:type="dxa"/>
                      </w:tcPr>
                      <w:p w14:paraId="38B03F00" w14:textId="77777777" w:rsidR="002266D1" w:rsidRDefault="002266D1" w:rsidP="002266D1"/>
                    </w:tc>
                  </w:tr>
                  <w:tr w:rsidR="002266D1" w14:paraId="7F795EA3" w14:textId="77777777" w:rsidTr="00033479">
                    <w:trPr>
                      <w:trHeight w:val="262"/>
                      <w:jc w:val="center"/>
                    </w:trPr>
                    <w:tc>
                      <w:tcPr>
                        <w:tcW w:w="461" w:type="dxa"/>
                      </w:tcPr>
                      <w:p w14:paraId="774FEA9F" w14:textId="77777777" w:rsidR="002266D1" w:rsidRDefault="002266D1" w:rsidP="002266D1">
                        <w:r>
                          <w:t>2</w:t>
                        </w:r>
                      </w:p>
                    </w:tc>
                    <w:tc>
                      <w:tcPr>
                        <w:tcW w:w="3611" w:type="dxa"/>
                      </w:tcPr>
                      <w:p w14:paraId="4FE8DCEF" w14:textId="77777777" w:rsidR="002266D1" w:rsidRPr="003F0050" w:rsidRDefault="00E40995" w:rsidP="002266D1">
                        <w:hyperlink r:id="rId11" w:history="1">
                          <w:r w:rsidR="002266D1" w:rsidRPr="003F0050">
                            <w:rPr>
                              <w:rStyle w:val="Hyperlink"/>
                            </w:rPr>
                            <w:t>TC 9.1</w:t>
                          </w:r>
                        </w:hyperlink>
                      </w:p>
                    </w:tc>
                    <w:tc>
                      <w:tcPr>
                        <w:tcW w:w="2528" w:type="dxa"/>
                      </w:tcPr>
                      <w:p w14:paraId="33708A60" w14:textId="77777777" w:rsidR="002266D1" w:rsidRDefault="002266D1" w:rsidP="002266D1"/>
                    </w:tc>
                  </w:tr>
                  <w:tr w:rsidR="00103601" w14:paraId="498EB57E" w14:textId="77777777" w:rsidTr="00033479">
                    <w:trPr>
                      <w:trHeight w:val="262"/>
                      <w:jc w:val="center"/>
                    </w:trPr>
                    <w:tc>
                      <w:tcPr>
                        <w:tcW w:w="461" w:type="dxa"/>
                      </w:tcPr>
                      <w:p w14:paraId="6E308447" w14:textId="77777777" w:rsidR="00103601" w:rsidRDefault="00103601" w:rsidP="00103601">
                        <w:r>
                          <w:t>3</w:t>
                        </w:r>
                      </w:p>
                    </w:tc>
                    <w:tc>
                      <w:tcPr>
                        <w:tcW w:w="3611" w:type="dxa"/>
                      </w:tcPr>
                      <w:p w14:paraId="564F9BBE" w14:textId="77777777" w:rsidR="00103601" w:rsidRDefault="00103601" w:rsidP="00103601">
                        <w:r>
                          <w:t>SSPC 15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47169CEB" w14:textId="77777777" w:rsidR="00103601" w:rsidRDefault="00103601" w:rsidP="00103601"/>
                    </w:tc>
                  </w:tr>
                  <w:tr w:rsidR="00103601" w14:paraId="4306F1C8" w14:textId="77777777" w:rsidTr="00033479">
                    <w:trPr>
                      <w:trHeight w:val="282"/>
                      <w:jc w:val="center"/>
                    </w:trPr>
                    <w:tc>
                      <w:tcPr>
                        <w:tcW w:w="461" w:type="dxa"/>
                      </w:tcPr>
                      <w:p w14:paraId="02D57F9D" w14:textId="77777777" w:rsidR="00103601" w:rsidRDefault="00103601" w:rsidP="00103601">
                        <w:r>
                          <w:t>4</w:t>
                        </w:r>
                      </w:p>
                    </w:tc>
                    <w:tc>
                      <w:tcPr>
                        <w:tcW w:w="3611" w:type="dxa"/>
                      </w:tcPr>
                      <w:p w14:paraId="538D5F88" w14:textId="77777777" w:rsidR="00103601" w:rsidRDefault="00103601" w:rsidP="00103601">
                        <w:r>
                          <w:t>SSPC 34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7196D8C5" w14:textId="77777777" w:rsidR="00103601" w:rsidRDefault="00103601" w:rsidP="00103601"/>
                    </w:tc>
                  </w:tr>
                  <w:tr w:rsidR="00103601" w14:paraId="1B0F3470" w14:textId="77777777" w:rsidTr="00033479">
                    <w:trPr>
                      <w:trHeight w:val="282"/>
                      <w:jc w:val="center"/>
                    </w:trPr>
                    <w:tc>
                      <w:tcPr>
                        <w:tcW w:w="461" w:type="dxa"/>
                      </w:tcPr>
                      <w:p w14:paraId="7C765500" w14:textId="77777777" w:rsidR="00103601" w:rsidRDefault="00103601" w:rsidP="00103601"/>
                    </w:tc>
                    <w:tc>
                      <w:tcPr>
                        <w:tcW w:w="3611" w:type="dxa"/>
                      </w:tcPr>
                      <w:p w14:paraId="62A7EEEA" w14:textId="77777777" w:rsidR="00103601" w:rsidRDefault="00103601" w:rsidP="00103601"/>
                    </w:tc>
                    <w:tc>
                      <w:tcPr>
                        <w:tcW w:w="2528" w:type="dxa"/>
                      </w:tcPr>
                      <w:p w14:paraId="5F85620B" w14:textId="77777777" w:rsidR="00103601" w:rsidRDefault="00103601" w:rsidP="00103601"/>
                    </w:tc>
                  </w:tr>
                </w:tbl>
                <w:p w14:paraId="315B6A81" w14:textId="77777777" w:rsidR="00103601" w:rsidRDefault="00103601"/>
              </w:tc>
            </w:tr>
            <w:tr w:rsidR="00103601" w14:paraId="31D82867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0FDD24C4" w14:textId="77777777" w:rsidR="00103601" w:rsidRDefault="00103601">
                  <w:pPr>
                    <w:jc w:val="center"/>
                  </w:pPr>
                </w:p>
              </w:tc>
            </w:tr>
          </w:tbl>
          <w:p w14:paraId="4C92CFE8" w14:textId="77777777" w:rsidR="00103601" w:rsidRDefault="00103601"/>
        </w:tc>
        <w:tc>
          <w:tcPr>
            <w:tcW w:w="0" w:type="auto"/>
            <w:vAlign w:val="center"/>
          </w:tcPr>
          <w:p w14:paraId="373EE4FA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5E8F3E3D" w14:textId="77777777" w:rsidR="00103601" w:rsidRDefault="00103601"/>
    <w:sectPr w:rsidR="00103601" w:rsidSect="0052256E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E8"/>
    <w:rsid w:val="000142F9"/>
    <w:rsid w:val="00026B8D"/>
    <w:rsid w:val="00033479"/>
    <w:rsid w:val="00036DEE"/>
    <w:rsid w:val="000405EC"/>
    <w:rsid w:val="00043180"/>
    <w:rsid w:val="00043D6E"/>
    <w:rsid w:val="0005555B"/>
    <w:rsid w:val="00070030"/>
    <w:rsid w:val="000730C2"/>
    <w:rsid w:val="00074CEA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33B32"/>
    <w:rsid w:val="00136D1C"/>
    <w:rsid w:val="00153056"/>
    <w:rsid w:val="001538C4"/>
    <w:rsid w:val="00167169"/>
    <w:rsid w:val="00176F30"/>
    <w:rsid w:val="00177D55"/>
    <w:rsid w:val="001935DF"/>
    <w:rsid w:val="0019749A"/>
    <w:rsid w:val="001B7130"/>
    <w:rsid w:val="001F0C26"/>
    <w:rsid w:val="001F72B5"/>
    <w:rsid w:val="002051F5"/>
    <w:rsid w:val="0020535B"/>
    <w:rsid w:val="002173A6"/>
    <w:rsid w:val="002266D1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D574F"/>
    <w:rsid w:val="002E45EC"/>
    <w:rsid w:val="002F4E1B"/>
    <w:rsid w:val="002F6C9C"/>
    <w:rsid w:val="003117BC"/>
    <w:rsid w:val="003121B2"/>
    <w:rsid w:val="00317B70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2759"/>
    <w:rsid w:val="003D4ED5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16F2"/>
    <w:rsid w:val="004A37B0"/>
    <w:rsid w:val="004A4C42"/>
    <w:rsid w:val="004C291F"/>
    <w:rsid w:val="004F534E"/>
    <w:rsid w:val="005168B3"/>
    <w:rsid w:val="0052256E"/>
    <w:rsid w:val="00526CA2"/>
    <w:rsid w:val="005325C4"/>
    <w:rsid w:val="005373C0"/>
    <w:rsid w:val="0054046A"/>
    <w:rsid w:val="00554020"/>
    <w:rsid w:val="00555DE5"/>
    <w:rsid w:val="005614FF"/>
    <w:rsid w:val="00571372"/>
    <w:rsid w:val="00573B26"/>
    <w:rsid w:val="005750B3"/>
    <w:rsid w:val="00575DE3"/>
    <w:rsid w:val="005823A8"/>
    <w:rsid w:val="0059130C"/>
    <w:rsid w:val="005A5824"/>
    <w:rsid w:val="005A719F"/>
    <w:rsid w:val="005C2DAE"/>
    <w:rsid w:val="005C3B4D"/>
    <w:rsid w:val="005D5A07"/>
    <w:rsid w:val="005E4570"/>
    <w:rsid w:val="005F09FF"/>
    <w:rsid w:val="005F5381"/>
    <w:rsid w:val="005F6297"/>
    <w:rsid w:val="00634806"/>
    <w:rsid w:val="00650ACA"/>
    <w:rsid w:val="00690A01"/>
    <w:rsid w:val="006A394D"/>
    <w:rsid w:val="006B4FBD"/>
    <w:rsid w:val="006B6767"/>
    <w:rsid w:val="006C4140"/>
    <w:rsid w:val="006D4E00"/>
    <w:rsid w:val="006E623D"/>
    <w:rsid w:val="006F2C88"/>
    <w:rsid w:val="006F48B2"/>
    <w:rsid w:val="006F73AE"/>
    <w:rsid w:val="007017C3"/>
    <w:rsid w:val="00706381"/>
    <w:rsid w:val="00714365"/>
    <w:rsid w:val="00724256"/>
    <w:rsid w:val="0073616E"/>
    <w:rsid w:val="00736F7F"/>
    <w:rsid w:val="00743C2B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C7466"/>
    <w:rsid w:val="007D4461"/>
    <w:rsid w:val="007D767C"/>
    <w:rsid w:val="007F16BE"/>
    <w:rsid w:val="00805C24"/>
    <w:rsid w:val="00813A3D"/>
    <w:rsid w:val="00830AF5"/>
    <w:rsid w:val="0083473C"/>
    <w:rsid w:val="008462B8"/>
    <w:rsid w:val="00850063"/>
    <w:rsid w:val="0087000C"/>
    <w:rsid w:val="008701B3"/>
    <w:rsid w:val="00881807"/>
    <w:rsid w:val="008945E6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1352"/>
    <w:rsid w:val="00946D49"/>
    <w:rsid w:val="009515BA"/>
    <w:rsid w:val="00954341"/>
    <w:rsid w:val="00961F04"/>
    <w:rsid w:val="00980872"/>
    <w:rsid w:val="009A0BC4"/>
    <w:rsid w:val="009B6C9C"/>
    <w:rsid w:val="009C1218"/>
    <w:rsid w:val="009D09C4"/>
    <w:rsid w:val="009F0A2B"/>
    <w:rsid w:val="00A031AA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7CD"/>
    <w:rsid w:val="00BD3FC3"/>
    <w:rsid w:val="00BE505D"/>
    <w:rsid w:val="00BF1AE7"/>
    <w:rsid w:val="00BF31F7"/>
    <w:rsid w:val="00C164C6"/>
    <w:rsid w:val="00C24D36"/>
    <w:rsid w:val="00C30616"/>
    <w:rsid w:val="00C41BCD"/>
    <w:rsid w:val="00C5109E"/>
    <w:rsid w:val="00C659F8"/>
    <w:rsid w:val="00C7107C"/>
    <w:rsid w:val="00C841A3"/>
    <w:rsid w:val="00CA7178"/>
    <w:rsid w:val="00CB0012"/>
    <w:rsid w:val="00CB5270"/>
    <w:rsid w:val="00CE0D06"/>
    <w:rsid w:val="00D1154F"/>
    <w:rsid w:val="00D30DFC"/>
    <w:rsid w:val="00D34EBB"/>
    <w:rsid w:val="00D35BE4"/>
    <w:rsid w:val="00D4058C"/>
    <w:rsid w:val="00D52DA1"/>
    <w:rsid w:val="00D80455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40995"/>
    <w:rsid w:val="00E57ACB"/>
    <w:rsid w:val="00E62952"/>
    <w:rsid w:val="00E81A29"/>
    <w:rsid w:val="00E83E50"/>
    <w:rsid w:val="00E84E52"/>
    <w:rsid w:val="00E86038"/>
    <w:rsid w:val="00EA3DD3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A64E8"/>
    <w:rsid w:val="00FB506A"/>
    <w:rsid w:val="00FB639A"/>
    <w:rsid w:val="00FC5F98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349D9E35"/>
  <w15:docId w15:val="{521B50C4-EE74-4A47-9A25-58B6FF6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A3"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36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A71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A71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36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adden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ashrae-15-2022-packaged-w-standard-34-2022?product_id=25040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" TargetMode="External"/><Relationship Id="rId11" Type="http://schemas.openxmlformats.org/officeDocument/2006/relationships/hyperlink" Target="https://tc0901.ashraetcs.org/" TargetMode="External"/><Relationship Id="rId5" Type="http://schemas.openxmlformats.org/officeDocument/2006/relationships/hyperlink" Target="https://www.ashrae.org/File%20Library/Technical%20Resources/Standards%20and%20Guidelines/Standards%20Addenda/15-1994_Addenda-c-and-d.pdf" TargetMode="External"/><Relationship Id="rId10" Type="http://schemas.openxmlformats.org/officeDocument/2006/relationships/hyperlink" Target="https://tc1001.ashraetcs.org/" TargetMode="External"/><Relationship Id="rId4" Type="http://schemas.openxmlformats.org/officeDocument/2006/relationships/hyperlink" Target="https://www.techstreet.com/ashrae/standards/ashrae-15-2022-packaged-w-standard-34-2022?product_id=2504061" TargetMode="External"/><Relationship Id="rId9" Type="http://schemas.openxmlformats.org/officeDocument/2006/relationships/hyperlink" Target="http://www.techstreet.com/cgi-bin/detail?product_id=1703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2179</CharactersWithSpaces>
  <SharedDoc>false</SharedDoc>
  <HLinks>
    <vt:vector size="36" baseType="variant"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http://membership.ashrae.org/template/AssetDetail/assetid/23193</vt:lpwstr>
      </vt:variant>
      <vt:variant>
        <vt:lpwstr/>
      </vt:variant>
      <vt:variant>
        <vt:i4>2752610</vt:i4>
      </vt:variant>
      <vt:variant>
        <vt:i4>12</vt:i4>
      </vt:variant>
      <vt:variant>
        <vt:i4>0</vt:i4>
      </vt:variant>
      <vt:variant>
        <vt:i4>5</vt:i4>
      </vt:variant>
      <vt:variant>
        <vt:lpwstr>http://membership.ashrae.org/template/AssetDetail/assetid/23217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http://resourcecenter.ashrae.org/store/ashrae/newstore.cgi?itemid=9390&amp;view=item&amp;categoryid=311</vt:lpwstr>
      </vt:variant>
      <vt:variant>
        <vt:lpwstr/>
      </vt:variant>
      <vt:variant>
        <vt:i4>1703945</vt:i4>
      </vt:variant>
      <vt:variant>
        <vt:i4>6</vt:i4>
      </vt:variant>
      <vt:variant>
        <vt:i4>0</vt:i4>
      </vt:variant>
      <vt:variant>
        <vt:i4>5</vt:i4>
      </vt:variant>
      <vt:variant>
        <vt:lpwstr>http://membership.ashrae.org/template/TechnologyLinkLanding/category/1631</vt:lpwstr>
      </vt:variant>
      <vt:variant>
        <vt:lpwstr/>
      </vt:variant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http://www.ashrae.org/content/ASHRAE/ASHRAE/ArticleAltFormat/20036915243_347.pdf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6</cp:revision>
  <cp:lastPrinted>2011-12-30T16:49:00Z</cp:lastPrinted>
  <dcterms:created xsi:type="dcterms:W3CDTF">2014-05-27T13:20:00Z</dcterms:created>
  <dcterms:modified xsi:type="dcterms:W3CDTF">2023-10-19T22:24:00Z</dcterms:modified>
</cp:coreProperties>
</file>