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9" w:type="dxa"/>
        <w:tblCellSpacing w:w="0" w:type="dxa"/>
        <w:tblCellMar>
          <w:left w:w="0" w:type="dxa"/>
          <w:right w:w="0" w:type="dxa"/>
        </w:tblCellMar>
        <w:tblLook w:val="0000" w:firstRow="0" w:lastRow="0" w:firstColumn="0" w:lastColumn="0" w:noHBand="0" w:noVBand="0"/>
      </w:tblPr>
      <w:tblGrid>
        <w:gridCol w:w="10733"/>
        <w:gridCol w:w="6"/>
      </w:tblGrid>
      <w:tr w:rsidR="00B26F66" w14:paraId="2274946F" w14:textId="77777777" w:rsidTr="00C20745">
        <w:trPr>
          <w:tblCellSpacing w:w="0" w:type="dxa"/>
        </w:trPr>
        <w:tc>
          <w:tcPr>
            <w:tcW w:w="0" w:type="auto"/>
            <w:gridSpan w:val="2"/>
            <w:vAlign w:val="center"/>
          </w:tcPr>
          <w:p w14:paraId="5C4D7454" w14:textId="77777777" w:rsidR="00B26F66" w:rsidRDefault="00B26F66">
            <w:pPr>
              <w:pStyle w:val="Heading3"/>
            </w:pPr>
            <w:r>
              <w:t>ASHRAE Technical FAQ</w:t>
            </w:r>
          </w:p>
        </w:tc>
      </w:tr>
      <w:tr w:rsidR="00B26F66" w14:paraId="2238C77C" w14:textId="77777777" w:rsidTr="00C20745">
        <w:trPr>
          <w:trHeight w:val="8262"/>
          <w:tblCellSpacing w:w="0" w:type="dxa"/>
        </w:trPr>
        <w:tc>
          <w:tcPr>
            <w:tcW w:w="0" w:type="auto"/>
            <w:vAlign w:val="center"/>
          </w:tcPr>
          <w:tbl>
            <w:tblPr>
              <w:tblW w:w="10733" w:type="dxa"/>
              <w:tblCellSpacing w:w="0" w:type="dxa"/>
              <w:tblCellMar>
                <w:top w:w="75" w:type="dxa"/>
                <w:left w:w="75" w:type="dxa"/>
                <w:bottom w:w="75" w:type="dxa"/>
                <w:right w:w="75" w:type="dxa"/>
              </w:tblCellMar>
              <w:tblLook w:val="0000" w:firstRow="0" w:lastRow="0" w:firstColumn="0" w:lastColumn="0" w:noHBand="0" w:noVBand="0"/>
            </w:tblPr>
            <w:tblGrid>
              <w:gridCol w:w="1981"/>
              <w:gridCol w:w="7318"/>
              <w:gridCol w:w="691"/>
              <w:gridCol w:w="743"/>
            </w:tblGrid>
            <w:tr w:rsidR="00B26F66" w14:paraId="5A0FA136" w14:textId="77777777" w:rsidTr="00674523">
              <w:trPr>
                <w:trHeight w:val="102"/>
                <w:tblCellSpacing w:w="0" w:type="dxa"/>
              </w:trPr>
              <w:tc>
                <w:tcPr>
                  <w:tcW w:w="5000" w:type="pct"/>
                  <w:gridSpan w:val="4"/>
                  <w:vAlign w:val="center"/>
                </w:tcPr>
                <w:p w14:paraId="6D6F1899" w14:textId="77777777" w:rsidR="00B26F66" w:rsidRDefault="00C20745">
                  <w:r>
                    <w:br w:type="page"/>
                  </w:r>
                  <w:r w:rsidR="00715363">
                    <w:pict w14:anchorId="5F426F9B">
                      <v:rect id="_x0000_i1025" style="width:465.85pt;height:3pt" o:hrpct="936" o:hrstd="t" o:hr="t" fillcolor="#aca899" stroked="f"/>
                    </w:pict>
                  </w:r>
                </w:p>
              </w:tc>
            </w:tr>
            <w:tr w:rsidR="00B26F66" w14:paraId="760937EF" w14:textId="77777777" w:rsidTr="00674523">
              <w:trPr>
                <w:gridAfter w:val="1"/>
                <w:wAfter w:w="346" w:type="pct"/>
                <w:trHeight w:val="102"/>
                <w:tblCellSpacing w:w="0" w:type="dxa"/>
              </w:trPr>
              <w:tc>
                <w:tcPr>
                  <w:tcW w:w="923" w:type="pct"/>
                  <w:vAlign w:val="center"/>
                </w:tcPr>
                <w:p w14:paraId="24A889BB" w14:textId="77777777" w:rsidR="00B26F66" w:rsidRDefault="00B26F66">
                  <w:r>
                    <w:t xml:space="preserve">ID </w:t>
                  </w:r>
                </w:p>
              </w:tc>
              <w:tc>
                <w:tcPr>
                  <w:tcW w:w="3731" w:type="pct"/>
                  <w:gridSpan w:val="2"/>
                  <w:vAlign w:val="center"/>
                </w:tcPr>
                <w:p w14:paraId="70B8A119" w14:textId="77777777" w:rsidR="00B26F66" w:rsidRDefault="00937384" w:rsidP="002B2D7E">
                  <w:r>
                    <w:t>109</w:t>
                  </w:r>
                </w:p>
              </w:tc>
            </w:tr>
            <w:tr w:rsidR="00B26F66" w14:paraId="401CA97A" w14:textId="77777777" w:rsidTr="00674523">
              <w:trPr>
                <w:gridAfter w:val="1"/>
                <w:wAfter w:w="346" w:type="pct"/>
                <w:trHeight w:val="102"/>
                <w:tblCellSpacing w:w="0" w:type="dxa"/>
              </w:trPr>
              <w:tc>
                <w:tcPr>
                  <w:tcW w:w="4654" w:type="pct"/>
                  <w:gridSpan w:val="3"/>
                  <w:vAlign w:val="center"/>
                </w:tcPr>
                <w:p w14:paraId="5AB3D5C4" w14:textId="77777777" w:rsidR="00B26F66" w:rsidRPr="001F1042" w:rsidRDefault="00715363">
                  <w:r>
                    <w:pict w14:anchorId="12C071F1">
                      <v:rect id="_x0000_i1026" style="width:0;height:1.5pt" o:hralign="center" o:hrstd="t" o:hr="t" fillcolor="#aca899" stroked="f"/>
                    </w:pict>
                  </w:r>
                </w:p>
              </w:tc>
            </w:tr>
            <w:tr w:rsidR="00B26F66" w14:paraId="118E5F97" w14:textId="77777777" w:rsidTr="00674523">
              <w:trPr>
                <w:gridAfter w:val="1"/>
                <w:wAfter w:w="346" w:type="pct"/>
                <w:trHeight w:val="699"/>
                <w:tblCellSpacing w:w="0" w:type="dxa"/>
              </w:trPr>
              <w:tc>
                <w:tcPr>
                  <w:tcW w:w="923" w:type="pct"/>
                  <w:vAlign w:val="center"/>
                </w:tcPr>
                <w:p w14:paraId="269E8F07" w14:textId="77777777" w:rsidR="00B26F66" w:rsidRPr="00D25D84" w:rsidRDefault="00B26F66">
                  <w:r w:rsidRPr="00D25D84">
                    <w:t xml:space="preserve">Question </w:t>
                  </w:r>
                </w:p>
              </w:tc>
              <w:tc>
                <w:tcPr>
                  <w:tcW w:w="3731" w:type="pct"/>
                  <w:gridSpan w:val="2"/>
                  <w:vAlign w:val="center"/>
                </w:tcPr>
                <w:p w14:paraId="2BE1D3FD" w14:textId="77777777" w:rsidR="00B26F66" w:rsidRPr="00D25D84" w:rsidRDefault="00D25D84" w:rsidP="00937384">
                  <w:r w:rsidRPr="00D25D84">
                    <w:t>How can I receive updates, participate in public reviews, to participate or stay current on issues related to ASHRAE Standards and Guidelines?</w:t>
                  </w:r>
                </w:p>
              </w:tc>
            </w:tr>
            <w:tr w:rsidR="00B26F66" w14:paraId="79BA7BE9" w14:textId="77777777" w:rsidTr="00674523">
              <w:trPr>
                <w:gridAfter w:val="1"/>
                <w:wAfter w:w="346" w:type="pct"/>
                <w:trHeight w:val="102"/>
                <w:tblCellSpacing w:w="0" w:type="dxa"/>
              </w:trPr>
              <w:tc>
                <w:tcPr>
                  <w:tcW w:w="4654" w:type="pct"/>
                  <w:gridSpan w:val="3"/>
                  <w:vAlign w:val="center"/>
                </w:tcPr>
                <w:p w14:paraId="1DF5CCB2" w14:textId="77777777" w:rsidR="00B26F66" w:rsidRPr="00D25D84" w:rsidRDefault="00715363">
                  <w:r>
                    <w:pict w14:anchorId="7BDFDBDA">
                      <v:rect id="_x0000_i1027" style="width:0;height:1.5pt" o:hralign="center" o:hrstd="t" o:hr="t" fillcolor="#aca899" stroked="f"/>
                    </w:pict>
                  </w:r>
                </w:p>
              </w:tc>
            </w:tr>
            <w:tr w:rsidR="00B26F66" w14:paraId="1446E2C0" w14:textId="77777777" w:rsidTr="00674523">
              <w:trPr>
                <w:gridAfter w:val="1"/>
                <w:wAfter w:w="346" w:type="pct"/>
                <w:trHeight w:val="2661"/>
                <w:tblCellSpacing w:w="0" w:type="dxa"/>
              </w:trPr>
              <w:tc>
                <w:tcPr>
                  <w:tcW w:w="923" w:type="pct"/>
                  <w:vAlign w:val="center"/>
                </w:tcPr>
                <w:p w14:paraId="0230A324" w14:textId="77777777" w:rsidR="00B26F66" w:rsidRPr="00D25D84" w:rsidRDefault="00B26F66">
                  <w:pPr>
                    <w:rPr>
                      <w:color w:val="000000"/>
                    </w:rPr>
                  </w:pPr>
                  <w:r w:rsidRPr="00D25D84">
                    <w:rPr>
                      <w:color w:val="000000"/>
                    </w:rPr>
                    <w:t xml:space="preserve">Answer </w:t>
                  </w:r>
                </w:p>
              </w:tc>
              <w:tc>
                <w:tcPr>
                  <w:tcW w:w="3731" w:type="pct"/>
                  <w:gridSpan w:val="2"/>
                  <w:vAlign w:val="center"/>
                </w:tcPr>
                <w:p w14:paraId="1EEF5B8B" w14:textId="60C31735" w:rsidR="00D25D84" w:rsidRPr="00D25D84" w:rsidRDefault="00715363" w:rsidP="00D25D84">
                  <w:pPr>
                    <w:pStyle w:val="PlainText"/>
                    <w:rPr>
                      <w:rFonts w:ascii="Times New Roman" w:hAnsi="Times New Roman" w:cs="Times New Roman"/>
                      <w:color w:val="333333"/>
                      <w:sz w:val="24"/>
                      <w:szCs w:val="24"/>
                      <w:shd w:val="clear" w:color="auto" w:fill="FFFFFF"/>
                    </w:rPr>
                  </w:pPr>
                  <w:hyperlink r:id="rId5" w:history="1">
                    <w:r w:rsidR="00D25D84" w:rsidRPr="00D25D84">
                      <w:rPr>
                        <w:rStyle w:val="Hyperlink"/>
                        <w:rFonts w:ascii="Times New Roman" w:hAnsi="Times New Roman" w:cs="Times New Roman"/>
                        <w:sz w:val="24"/>
                        <w:szCs w:val="24"/>
                        <w:shd w:val="clear" w:color="auto" w:fill="FFFFFF"/>
                      </w:rPr>
                      <w:t>ASHRAE Standards Actions</w:t>
                    </w:r>
                  </w:hyperlink>
                  <w:r w:rsidR="00D25D84" w:rsidRPr="00D25D84">
                    <w:rPr>
                      <w:rFonts w:ascii="Times New Roman" w:hAnsi="Times New Roman" w:cs="Times New Roman"/>
                      <w:color w:val="333333"/>
                      <w:sz w:val="24"/>
                      <w:szCs w:val="24"/>
                      <w:shd w:val="clear" w:color="auto" w:fill="FFFFFF"/>
                    </w:rPr>
                    <w:t xml:space="preserve"> contains announcements including public review drafts open for comment, call for members on ASHRAE committees, publications, new errata and interpretations, and other information related to ASHRAE standards and standards related activities. </w:t>
                  </w:r>
                </w:p>
                <w:p w14:paraId="5F97B791" w14:textId="77777777" w:rsidR="00D25D84" w:rsidRPr="00D25D84" w:rsidRDefault="00D25D84" w:rsidP="00D25D84">
                  <w:pPr>
                    <w:pStyle w:val="PlainText"/>
                    <w:rPr>
                      <w:rFonts w:ascii="Times New Roman" w:hAnsi="Times New Roman" w:cs="Times New Roman"/>
                      <w:color w:val="333333"/>
                      <w:sz w:val="24"/>
                      <w:szCs w:val="24"/>
                      <w:shd w:val="clear" w:color="auto" w:fill="FFFFFF"/>
                    </w:rPr>
                  </w:pPr>
                </w:p>
                <w:p w14:paraId="5A6A1EE0" w14:textId="5275DD30" w:rsidR="00D25D84" w:rsidRPr="00D25D84" w:rsidRDefault="00D25D84" w:rsidP="00D25D84">
                  <w:pPr>
                    <w:pStyle w:val="PlainText"/>
                    <w:rPr>
                      <w:rFonts w:ascii="Times New Roman" w:hAnsi="Times New Roman" w:cs="Times New Roman"/>
                      <w:color w:val="333333"/>
                      <w:sz w:val="24"/>
                      <w:szCs w:val="24"/>
                      <w:shd w:val="clear" w:color="auto" w:fill="FFFFFF"/>
                    </w:rPr>
                  </w:pPr>
                  <w:r w:rsidRPr="00D25D84">
                    <w:rPr>
                      <w:rFonts w:ascii="Times New Roman" w:hAnsi="Times New Roman" w:cs="Times New Roman"/>
                      <w:color w:val="333333"/>
                      <w:sz w:val="24"/>
                      <w:szCs w:val="24"/>
                      <w:shd w:val="clear" w:color="auto" w:fill="FFFFFF"/>
                    </w:rPr>
                    <w:t xml:space="preserve">Standards Actions are available for free download at </w:t>
                  </w:r>
                  <w:hyperlink r:id="rId6" w:history="1">
                    <w:r w:rsidR="00715363" w:rsidRPr="00715363">
                      <w:rPr>
                        <w:rStyle w:val="Hyperlink"/>
                        <w:rFonts w:ascii="Times New Roman" w:hAnsi="Times New Roman" w:cs="Times New Roman"/>
                        <w:sz w:val="24"/>
                        <w:szCs w:val="24"/>
                        <w:shd w:val="clear" w:color="auto" w:fill="FFFFFF"/>
                      </w:rPr>
                      <w:t>www.ashrae.org/technical-resources/standards-and-guidelines/standards-actions</w:t>
                    </w:r>
                  </w:hyperlink>
                  <w:r w:rsidR="00715363">
                    <w:t xml:space="preserve"> </w:t>
                  </w:r>
                  <w:r w:rsidRPr="00D25D84">
                    <w:rPr>
                      <w:rFonts w:ascii="Times New Roman" w:hAnsi="Times New Roman" w:cs="Times New Roman"/>
                      <w:sz w:val="24"/>
                      <w:szCs w:val="24"/>
                    </w:rPr>
                    <w:t xml:space="preserve"> or you may sign up for a Standards Action </w:t>
                  </w:r>
                  <w:proofErr w:type="spellStart"/>
                  <w:r w:rsidRPr="00D25D84">
                    <w:rPr>
                      <w:rFonts w:ascii="Times New Roman" w:hAnsi="Times New Roman" w:cs="Times New Roman"/>
                      <w:sz w:val="24"/>
                      <w:szCs w:val="24"/>
                    </w:rPr>
                    <w:t>listserv</w:t>
                  </w:r>
                  <w:r w:rsidR="00715363">
                    <w:rPr>
                      <w:rFonts w:ascii="Times New Roman" w:hAnsi="Times New Roman" w:cs="Times New Roman"/>
                      <w:sz w:val="24"/>
                      <w:szCs w:val="24"/>
                    </w:rPr>
                    <w:t>e</w:t>
                  </w:r>
                  <w:r w:rsidR="00715363" w:rsidRPr="00715363">
                    <w:rPr>
                      <w:rFonts w:ascii="Times New Roman" w:hAnsi="Times New Roman" w:cs="Times New Roman"/>
                      <w:sz w:val="24"/>
                      <w:szCs w:val="24"/>
                    </w:rPr>
                    <w:t>r</w:t>
                  </w:r>
                  <w:proofErr w:type="spellEnd"/>
                  <w:r w:rsidRPr="00D25D84">
                    <w:rPr>
                      <w:rFonts w:ascii="Times New Roman" w:hAnsi="Times New Roman" w:cs="Times New Roman"/>
                      <w:sz w:val="24"/>
                      <w:szCs w:val="24"/>
                    </w:rPr>
                    <w:t xml:space="preserve"> at </w:t>
                  </w:r>
                  <w:hyperlink r:id="rId7" w:history="1">
                    <w:r w:rsidRPr="001E6D28">
                      <w:rPr>
                        <w:rStyle w:val="Hyperlink"/>
                        <w:rFonts w:ascii="Times New Roman" w:hAnsi="Times New Roman" w:cs="Times New Roman"/>
                        <w:sz w:val="24"/>
                        <w:szCs w:val="24"/>
                      </w:rPr>
                      <w:t>www.ashrae.org/re</w:t>
                    </w:r>
                    <w:r w:rsidRPr="001E6D28">
                      <w:rPr>
                        <w:rStyle w:val="Hyperlink"/>
                        <w:rFonts w:ascii="Times New Roman" w:hAnsi="Times New Roman" w:cs="Times New Roman"/>
                        <w:sz w:val="24"/>
                        <w:szCs w:val="24"/>
                      </w:rPr>
                      <w:t>s</w:t>
                    </w:r>
                    <w:r w:rsidRPr="001E6D28">
                      <w:rPr>
                        <w:rStyle w:val="Hyperlink"/>
                        <w:rFonts w:ascii="Times New Roman" w:hAnsi="Times New Roman" w:cs="Times New Roman"/>
                        <w:sz w:val="24"/>
                        <w:szCs w:val="24"/>
                      </w:rPr>
                      <w:t>ources--publications/free-resources/</w:t>
                    </w:r>
                    <w:proofErr w:type="spellStart"/>
                    <w:r w:rsidRPr="001E6D28">
                      <w:rPr>
                        <w:rStyle w:val="Hyperlink"/>
                        <w:rFonts w:ascii="Times New Roman" w:hAnsi="Times New Roman" w:cs="Times New Roman"/>
                        <w:sz w:val="24"/>
                        <w:szCs w:val="24"/>
                      </w:rPr>
                      <w:t>listserves</w:t>
                    </w:r>
                    <w:proofErr w:type="spellEnd"/>
                  </w:hyperlink>
                  <w:r w:rsidRPr="00D25D84">
                    <w:rPr>
                      <w:rFonts w:ascii="Times New Roman" w:hAnsi="Times New Roman" w:cs="Times New Roman"/>
                      <w:sz w:val="24"/>
                      <w:szCs w:val="24"/>
                    </w:rPr>
                    <w:t xml:space="preserve">. </w:t>
                  </w:r>
                </w:p>
                <w:p w14:paraId="342F521D" w14:textId="77777777" w:rsidR="00D25D84" w:rsidRPr="00D25D84" w:rsidRDefault="00D25D84" w:rsidP="00D25D84">
                  <w:pPr>
                    <w:pStyle w:val="PlainText"/>
                    <w:rPr>
                      <w:rFonts w:ascii="Times New Roman" w:hAnsi="Times New Roman" w:cs="Times New Roman"/>
                      <w:color w:val="333333"/>
                      <w:sz w:val="24"/>
                      <w:szCs w:val="24"/>
                      <w:shd w:val="clear" w:color="auto" w:fill="FFFFFF"/>
                    </w:rPr>
                  </w:pPr>
                </w:p>
                <w:p w14:paraId="166DFB1A" w14:textId="2202305C" w:rsidR="00F679E6" w:rsidRPr="00D25D84" w:rsidRDefault="00D25D84" w:rsidP="00D25D84">
                  <w:pPr>
                    <w:pStyle w:val="PlainText"/>
                    <w:rPr>
                      <w:rFonts w:ascii="Times New Roman" w:hAnsi="Times New Roman" w:cs="Times New Roman"/>
                      <w:color w:val="000000"/>
                      <w:sz w:val="24"/>
                      <w:szCs w:val="24"/>
                    </w:rPr>
                  </w:pPr>
                  <w:r w:rsidRPr="00D25D84">
                    <w:rPr>
                      <w:rFonts w:ascii="Times New Roman" w:hAnsi="Times New Roman" w:cs="Times New Roman"/>
                      <w:color w:val="000000"/>
                      <w:sz w:val="24"/>
                      <w:szCs w:val="24"/>
                    </w:rPr>
                    <w:t xml:space="preserve">Errata and addenda to ASHRAE Standards and Guidelines are published and made available for a free download at </w:t>
                  </w:r>
                  <w:hyperlink r:id="rId8" w:history="1">
                    <w:r w:rsidR="00715363" w:rsidRPr="00715363">
                      <w:rPr>
                        <w:rStyle w:val="Hyperlink"/>
                        <w:rFonts w:ascii="Times New Roman" w:hAnsi="Times New Roman" w:cs="Times New Roman"/>
                        <w:sz w:val="24"/>
                        <w:szCs w:val="24"/>
                        <w:shd w:val="clear" w:color="auto" w:fill="FFFFFF"/>
                      </w:rPr>
                      <w:t>www.ashrae.org/technical-resources/standards-and-guidelines</w:t>
                    </w:r>
                  </w:hyperlink>
                  <w:r w:rsidR="00715363">
                    <w:t xml:space="preserve"> </w:t>
                  </w:r>
                  <w:r w:rsidRPr="00D25D84">
                    <w:rPr>
                      <w:rFonts w:ascii="Times New Roman" w:hAnsi="Times New Roman" w:cs="Times New Roman"/>
                      <w:sz w:val="24"/>
                      <w:szCs w:val="24"/>
                    </w:rPr>
                    <w:t xml:space="preserve"> </w:t>
                  </w:r>
                </w:p>
              </w:tc>
            </w:tr>
            <w:tr w:rsidR="00B26F66" w14:paraId="7E8CD606" w14:textId="77777777" w:rsidTr="00674523">
              <w:trPr>
                <w:gridAfter w:val="1"/>
                <w:wAfter w:w="346" w:type="pct"/>
                <w:trHeight w:val="212"/>
                <w:tblCellSpacing w:w="0" w:type="dxa"/>
              </w:trPr>
              <w:tc>
                <w:tcPr>
                  <w:tcW w:w="4654" w:type="pct"/>
                  <w:gridSpan w:val="3"/>
                  <w:vAlign w:val="center"/>
                </w:tcPr>
                <w:p w14:paraId="7E758C1B" w14:textId="77777777" w:rsidR="00B26F66" w:rsidRPr="001F1042" w:rsidRDefault="00715363">
                  <w:r>
                    <w:pict w14:anchorId="560227F7">
                      <v:rect id="_x0000_i1028" style="width:0;height:1.5pt" o:hralign="center" o:hrstd="t" o:hr="t" fillcolor="#aca899" stroked="f"/>
                    </w:pict>
                  </w:r>
                </w:p>
              </w:tc>
            </w:tr>
            <w:tr w:rsidR="00B26F66" w14:paraId="196734D5" w14:textId="77777777" w:rsidTr="00674523">
              <w:trPr>
                <w:gridAfter w:val="1"/>
                <w:wAfter w:w="346" w:type="pct"/>
                <w:trHeight w:val="396"/>
                <w:tblCellSpacing w:w="0" w:type="dxa"/>
              </w:trPr>
              <w:tc>
                <w:tcPr>
                  <w:tcW w:w="923" w:type="pct"/>
                  <w:vAlign w:val="center"/>
                </w:tcPr>
                <w:p w14:paraId="7BFBABDF" w14:textId="77777777" w:rsidR="00B26F66" w:rsidRPr="001F1042" w:rsidRDefault="00B26F66">
                  <w:r w:rsidRPr="001F1042">
                    <w:t xml:space="preserve">ASHRAE Pubs </w:t>
                  </w:r>
                </w:p>
              </w:tc>
              <w:tc>
                <w:tcPr>
                  <w:tcW w:w="3731" w:type="pct"/>
                  <w:gridSpan w:val="2"/>
                  <w:vAlign w:val="center"/>
                </w:tcPr>
                <w:p w14:paraId="00FD886C" w14:textId="77777777" w:rsidR="00C20745" w:rsidRPr="00D45729" w:rsidRDefault="00E31DEA" w:rsidP="007F4885">
                  <w:pPr>
                    <w:rPr>
                      <w:color w:val="FF0000"/>
                    </w:rPr>
                  </w:pPr>
                  <w:r w:rsidRPr="00D45729">
                    <w:rPr>
                      <w:color w:val="FF0000"/>
                    </w:rPr>
                    <w:t xml:space="preserve"> </w:t>
                  </w:r>
                </w:p>
              </w:tc>
            </w:tr>
            <w:tr w:rsidR="00B26F66" w14:paraId="0D8FD734" w14:textId="77777777" w:rsidTr="00674523">
              <w:trPr>
                <w:gridAfter w:val="1"/>
                <w:wAfter w:w="346" w:type="pct"/>
                <w:trHeight w:val="198"/>
                <w:tblCellSpacing w:w="0" w:type="dxa"/>
              </w:trPr>
              <w:tc>
                <w:tcPr>
                  <w:tcW w:w="4654" w:type="pct"/>
                  <w:gridSpan w:val="3"/>
                  <w:vAlign w:val="center"/>
                </w:tcPr>
                <w:p w14:paraId="27629F8E" w14:textId="77777777" w:rsidR="00B26F66" w:rsidRPr="001F1042" w:rsidRDefault="00715363">
                  <w:r>
                    <w:pict w14:anchorId="2BC40C9E">
                      <v:rect id="_x0000_i1029" style="width:0;height:1.5pt" o:hralign="center" o:hrstd="t" o:hr="t" fillcolor="#aca899" stroked="f"/>
                    </w:pict>
                  </w:r>
                </w:p>
              </w:tc>
            </w:tr>
            <w:tr w:rsidR="00B26F66" w14:paraId="602B8DFA" w14:textId="77777777" w:rsidTr="00674523">
              <w:trPr>
                <w:gridAfter w:val="1"/>
                <w:wAfter w:w="346" w:type="pct"/>
                <w:trHeight w:val="396"/>
                <w:tblCellSpacing w:w="0" w:type="dxa"/>
              </w:trPr>
              <w:tc>
                <w:tcPr>
                  <w:tcW w:w="923" w:type="pct"/>
                  <w:vAlign w:val="center"/>
                </w:tcPr>
                <w:p w14:paraId="623FA218" w14:textId="77777777" w:rsidR="00B26F66" w:rsidRPr="001F1042" w:rsidRDefault="00B26F66">
                  <w:r w:rsidRPr="001F1042">
                    <w:t xml:space="preserve">Topic References </w:t>
                  </w:r>
                </w:p>
              </w:tc>
              <w:tc>
                <w:tcPr>
                  <w:tcW w:w="3731" w:type="pct"/>
                  <w:gridSpan w:val="2"/>
                  <w:vAlign w:val="center"/>
                </w:tcPr>
                <w:p w14:paraId="3E3A5DC1" w14:textId="77777777" w:rsidR="00B26F66" w:rsidRPr="006F504D" w:rsidRDefault="00B26F66" w:rsidP="00D45729">
                  <w:pPr>
                    <w:rPr>
                      <w:color w:val="FF0000"/>
                    </w:rPr>
                  </w:pPr>
                </w:p>
              </w:tc>
            </w:tr>
            <w:tr w:rsidR="00B26F66" w14:paraId="530A8DDF" w14:textId="77777777" w:rsidTr="00674523">
              <w:trPr>
                <w:trHeight w:val="198"/>
                <w:tblCellSpacing w:w="0" w:type="dxa"/>
              </w:trPr>
              <w:tc>
                <w:tcPr>
                  <w:tcW w:w="5000" w:type="pct"/>
                  <w:gridSpan w:val="4"/>
                  <w:vAlign w:val="center"/>
                </w:tcPr>
                <w:p w14:paraId="01F299FF" w14:textId="77777777" w:rsidR="00B26F66" w:rsidRDefault="00715363" w:rsidP="00C4244D">
                  <w:r>
                    <w:pict w14:anchorId="1B24D3BB">
                      <v:rect id="_x0000_i1030" style="width:460.85pt;height:4pt" o:hrpct="926" o:hrstd="t" o:hr="t" fillcolor="#aca899" stroked="f"/>
                    </w:pict>
                  </w:r>
                </w:p>
              </w:tc>
            </w:tr>
            <w:tr w:rsidR="00B26F66" w14:paraId="1194999B" w14:textId="77777777" w:rsidTr="00674523">
              <w:trPr>
                <w:gridAfter w:val="2"/>
                <w:wAfter w:w="668" w:type="pct"/>
                <w:trHeight w:val="2121"/>
                <w:tblCellSpacing w:w="0" w:type="dxa"/>
              </w:trPr>
              <w:tc>
                <w:tcPr>
                  <w:tcW w:w="4332"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27617880" w14:textId="77777777" w:rsidTr="00BE4A11">
                    <w:trPr>
                      <w:trHeight w:val="316"/>
                      <w:jc w:val="center"/>
                    </w:trPr>
                    <w:tc>
                      <w:tcPr>
                        <w:tcW w:w="460" w:type="dxa"/>
                      </w:tcPr>
                      <w:p w14:paraId="56F193BB" w14:textId="77777777" w:rsidR="00B26F66" w:rsidRDefault="00B26F66"/>
                    </w:tc>
                    <w:tc>
                      <w:tcPr>
                        <w:tcW w:w="3600" w:type="dxa"/>
                      </w:tcPr>
                      <w:p w14:paraId="0CBD571C" w14:textId="77777777" w:rsidR="00B26F66" w:rsidRDefault="00B26F66">
                        <w:r>
                          <w:t>Cognizant ASHRAE Committees</w:t>
                        </w:r>
                      </w:p>
                    </w:tc>
                    <w:tc>
                      <w:tcPr>
                        <w:tcW w:w="2520" w:type="dxa"/>
                      </w:tcPr>
                      <w:p w14:paraId="56C38F68" w14:textId="77777777" w:rsidR="00B26F66" w:rsidRDefault="00B26F66">
                        <w:r>
                          <w:t>Refer to Organization</w:t>
                        </w:r>
                      </w:p>
                    </w:tc>
                  </w:tr>
                  <w:tr w:rsidR="00B26F66" w14:paraId="10597342" w14:textId="77777777" w:rsidTr="00BE4A11">
                    <w:trPr>
                      <w:trHeight w:val="293"/>
                      <w:jc w:val="center"/>
                    </w:trPr>
                    <w:tc>
                      <w:tcPr>
                        <w:tcW w:w="460" w:type="dxa"/>
                      </w:tcPr>
                      <w:p w14:paraId="615899AB" w14:textId="77777777" w:rsidR="00B26F66" w:rsidRDefault="00B26F66">
                        <w:r>
                          <w:t>1</w:t>
                        </w:r>
                      </w:p>
                    </w:tc>
                    <w:tc>
                      <w:tcPr>
                        <w:tcW w:w="3600" w:type="dxa"/>
                      </w:tcPr>
                      <w:p w14:paraId="1F0C26CA" w14:textId="77777777" w:rsidR="00B26F66" w:rsidRPr="00AB0518" w:rsidRDefault="00B26F66" w:rsidP="00D45729">
                        <w:pPr>
                          <w:rPr>
                            <w:color w:val="000000"/>
                          </w:rPr>
                        </w:pPr>
                      </w:p>
                    </w:tc>
                    <w:tc>
                      <w:tcPr>
                        <w:tcW w:w="2520" w:type="dxa"/>
                      </w:tcPr>
                      <w:p w14:paraId="3038DBEA" w14:textId="77777777" w:rsidR="00B26F66" w:rsidRPr="00AB0518" w:rsidRDefault="00B26F66" w:rsidP="00C4244D">
                        <w:pPr>
                          <w:rPr>
                            <w:color w:val="000000"/>
                          </w:rPr>
                        </w:pPr>
                      </w:p>
                    </w:tc>
                  </w:tr>
                  <w:tr w:rsidR="00B26F66" w14:paraId="31BD0F63" w14:textId="77777777" w:rsidTr="00BE4A11">
                    <w:trPr>
                      <w:trHeight w:val="293"/>
                      <w:jc w:val="center"/>
                    </w:trPr>
                    <w:tc>
                      <w:tcPr>
                        <w:tcW w:w="460" w:type="dxa"/>
                      </w:tcPr>
                      <w:p w14:paraId="52A756E2" w14:textId="77777777" w:rsidR="00B26F66" w:rsidRDefault="00B26F66">
                        <w:r>
                          <w:t>2</w:t>
                        </w:r>
                      </w:p>
                    </w:tc>
                    <w:tc>
                      <w:tcPr>
                        <w:tcW w:w="3600" w:type="dxa"/>
                      </w:tcPr>
                      <w:p w14:paraId="78BD06DF" w14:textId="77777777" w:rsidR="00B26F66" w:rsidRPr="00AB0518" w:rsidRDefault="00B26F66" w:rsidP="00D23086">
                        <w:pPr>
                          <w:rPr>
                            <w:color w:val="000000"/>
                          </w:rPr>
                        </w:pPr>
                      </w:p>
                    </w:tc>
                    <w:tc>
                      <w:tcPr>
                        <w:tcW w:w="2520" w:type="dxa"/>
                      </w:tcPr>
                      <w:p w14:paraId="06BD9300" w14:textId="77777777" w:rsidR="00B26F66" w:rsidRPr="00AB0518" w:rsidRDefault="00B26F66">
                        <w:pPr>
                          <w:rPr>
                            <w:color w:val="000000"/>
                          </w:rPr>
                        </w:pPr>
                      </w:p>
                    </w:tc>
                  </w:tr>
                  <w:tr w:rsidR="00B26F66" w14:paraId="78A17FAF" w14:textId="77777777" w:rsidTr="00BE4A11">
                    <w:trPr>
                      <w:trHeight w:val="293"/>
                      <w:jc w:val="center"/>
                    </w:trPr>
                    <w:tc>
                      <w:tcPr>
                        <w:tcW w:w="460" w:type="dxa"/>
                      </w:tcPr>
                      <w:p w14:paraId="3D041F22" w14:textId="77777777" w:rsidR="00B26F66" w:rsidRDefault="00B26F66">
                        <w:r>
                          <w:t>3</w:t>
                        </w:r>
                      </w:p>
                    </w:tc>
                    <w:tc>
                      <w:tcPr>
                        <w:tcW w:w="3600" w:type="dxa"/>
                      </w:tcPr>
                      <w:p w14:paraId="622B30D8" w14:textId="77777777" w:rsidR="00B26F66" w:rsidRPr="00AB0518" w:rsidRDefault="00B26F66">
                        <w:pPr>
                          <w:rPr>
                            <w:color w:val="000000"/>
                          </w:rPr>
                        </w:pPr>
                      </w:p>
                    </w:tc>
                    <w:tc>
                      <w:tcPr>
                        <w:tcW w:w="2520" w:type="dxa"/>
                      </w:tcPr>
                      <w:p w14:paraId="2DFDB1FA" w14:textId="77777777" w:rsidR="00B26F66" w:rsidRPr="00AB0518" w:rsidRDefault="00715363" w:rsidP="00C4244D">
                        <w:pPr>
                          <w:rPr>
                            <w:color w:val="000000"/>
                          </w:rPr>
                        </w:pPr>
                        <w:hyperlink r:id="rId9" w:history="1"/>
                      </w:p>
                    </w:tc>
                  </w:tr>
                  <w:tr w:rsidR="00B26F66" w14:paraId="05915502" w14:textId="77777777" w:rsidTr="00BE4A11">
                    <w:trPr>
                      <w:trHeight w:val="316"/>
                      <w:jc w:val="center"/>
                    </w:trPr>
                    <w:tc>
                      <w:tcPr>
                        <w:tcW w:w="460" w:type="dxa"/>
                      </w:tcPr>
                      <w:p w14:paraId="66AC61CB" w14:textId="77777777" w:rsidR="00B26F66" w:rsidRDefault="00B26F66">
                        <w:r>
                          <w:t>4</w:t>
                        </w:r>
                      </w:p>
                    </w:tc>
                    <w:tc>
                      <w:tcPr>
                        <w:tcW w:w="3600" w:type="dxa"/>
                      </w:tcPr>
                      <w:p w14:paraId="7E30A772" w14:textId="77777777" w:rsidR="00B26F66" w:rsidRPr="00AB0518" w:rsidRDefault="00B26F66" w:rsidP="00340B54">
                        <w:pPr>
                          <w:rPr>
                            <w:color w:val="000000"/>
                          </w:rPr>
                        </w:pPr>
                      </w:p>
                    </w:tc>
                    <w:tc>
                      <w:tcPr>
                        <w:tcW w:w="2520" w:type="dxa"/>
                      </w:tcPr>
                      <w:p w14:paraId="2B94C68A" w14:textId="77777777" w:rsidR="00B26F66" w:rsidRPr="00AB0518" w:rsidRDefault="00B26F66">
                        <w:pPr>
                          <w:rPr>
                            <w:color w:val="000000"/>
                          </w:rPr>
                        </w:pPr>
                      </w:p>
                    </w:tc>
                  </w:tr>
                  <w:tr w:rsidR="00B26F66" w14:paraId="61BAA3A0" w14:textId="77777777" w:rsidTr="00BE4A11">
                    <w:trPr>
                      <w:trHeight w:val="316"/>
                      <w:jc w:val="center"/>
                    </w:trPr>
                    <w:tc>
                      <w:tcPr>
                        <w:tcW w:w="460" w:type="dxa"/>
                      </w:tcPr>
                      <w:p w14:paraId="3376DC09" w14:textId="77777777" w:rsidR="00B26F66" w:rsidRDefault="00B26F66">
                        <w:r>
                          <w:t>5</w:t>
                        </w:r>
                      </w:p>
                    </w:tc>
                    <w:tc>
                      <w:tcPr>
                        <w:tcW w:w="3600" w:type="dxa"/>
                      </w:tcPr>
                      <w:p w14:paraId="71E4027C" w14:textId="77777777" w:rsidR="00B26F66" w:rsidRPr="00AB0518" w:rsidRDefault="00B26F66">
                        <w:pPr>
                          <w:rPr>
                            <w:color w:val="000000"/>
                          </w:rPr>
                        </w:pPr>
                      </w:p>
                    </w:tc>
                    <w:tc>
                      <w:tcPr>
                        <w:tcW w:w="2520" w:type="dxa"/>
                      </w:tcPr>
                      <w:p w14:paraId="5340383F" w14:textId="77777777" w:rsidR="00B26F66" w:rsidRPr="00AB0518" w:rsidRDefault="00B26F66">
                        <w:pPr>
                          <w:rPr>
                            <w:color w:val="000000"/>
                          </w:rPr>
                        </w:pPr>
                      </w:p>
                    </w:tc>
                  </w:tr>
                </w:tbl>
                <w:p w14:paraId="502409B1" w14:textId="77777777" w:rsidR="00B26F66" w:rsidRDefault="00B26F66"/>
              </w:tc>
            </w:tr>
            <w:tr w:rsidR="00B26F66" w14:paraId="74F616F9" w14:textId="77777777" w:rsidTr="00674523">
              <w:trPr>
                <w:trHeight w:val="212"/>
                <w:tblCellSpacing w:w="0" w:type="dxa"/>
              </w:trPr>
              <w:tc>
                <w:tcPr>
                  <w:tcW w:w="5000" w:type="pct"/>
                  <w:gridSpan w:val="4"/>
                  <w:vAlign w:val="center"/>
                </w:tcPr>
                <w:p w14:paraId="0CD57BAB" w14:textId="77777777" w:rsidR="00B26F66" w:rsidRDefault="00B26F66"/>
              </w:tc>
            </w:tr>
          </w:tbl>
          <w:p w14:paraId="1FDC5614" w14:textId="77777777" w:rsidR="00B26F66" w:rsidRDefault="00B26F66"/>
        </w:tc>
        <w:tc>
          <w:tcPr>
            <w:tcW w:w="0" w:type="auto"/>
            <w:vAlign w:val="center"/>
          </w:tcPr>
          <w:p w14:paraId="62DF0E69" w14:textId="77777777" w:rsidR="00B26F66" w:rsidRDefault="00B26F66">
            <w:pPr>
              <w:rPr>
                <w:sz w:val="20"/>
                <w:szCs w:val="20"/>
              </w:rPr>
            </w:pPr>
          </w:p>
        </w:tc>
      </w:tr>
    </w:tbl>
    <w:p w14:paraId="7749A4C1" w14:textId="77777777" w:rsidR="00B26F66" w:rsidRPr="005E4570" w:rsidRDefault="00B26F66">
      <w:pPr>
        <w:rPr>
          <w:rFonts w:ascii="Arial" w:hAnsi="Arial" w:cs="Arial"/>
        </w:rPr>
      </w:pPr>
    </w:p>
    <w:sectPr w:rsidR="00B26F66" w:rsidRPr="005E4570" w:rsidSect="00531976">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B75C8"/>
    <w:multiLevelType w:val="hybridMultilevel"/>
    <w:tmpl w:val="AC0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37109"/>
    <w:multiLevelType w:val="hybridMultilevel"/>
    <w:tmpl w:val="874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891577">
    <w:abstractNumId w:val="0"/>
  </w:num>
  <w:num w:numId="2" w16cid:durableId="16895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129F"/>
    <w:rsid w:val="00003EC8"/>
    <w:rsid w:val="000142F9"/>
    <w:rsid w:val="00026B8D"/>
    <w:rsid w:val="000405EC"/>
    <w:rsid w:val="00043D6E"/>
    <w:rsid w:val="0005555B"/>
    <w:rsid w:val="00093487"/>
    <w:rsid w:val="000A20AB"/>
    <w:rsid w:val="000A4C5E"/>
    <w:rsid w:val="000B1E64"/>
    <w:rsid w:val="000C17CC"/>
    <w:rsid w:val="000C3D1F"/>
    <w:rsid w:val="000C7C12"/>
    <w:rsid w:val="000D0346"/>
    <w:rsid w:val="000D61FB"/>
    <w:rsid w:val="000E41B2"/>
    <w:rsid w:val="000E46C8"/>
    <w:rsid w:val="000E4A46"/>
    <w:rsid w:val="00105431"/>
    <w:rsid w:val="00111AD9"/>
    <w:rsid w:val="00113034"/>
    <w:rsid w:val="001224D7"/>
    <w:rsid w:val="00133B32"/>
    <w:rsid w:val="00136D1C"/>
    <w:rsid w:val="001538C4"/>
    <w:rsid w:val="00167169"/>
    <w:rsid w:val="00176F30"/>
    <w:rsid w:val="00177D55"/>
    <w:rsid w:val="001848E8"/>
    <w:rsid w:val="001935DF"/>
    <w:rsid w:val="0019749A"/>
    <w:rsid w:val="001B7130"/>
    <w:rsid w:val="001F0C26"/>
    <w:rsid w:val="001F7BF7"/>
    <w:rsid w:val="002051F5"/>
    <w:rsid w:val="0020535B"/>
    <w:rsid w:val="002173A6"/>
    <w:rsid w:val="00227822"/>
    <w:rsid w:val="0024504B"/>
    <w:rsid w:val="00252728"/>
    <w:rsid w:val="00257E60"/>
    <w:rsid w:val="002703A5"/>
    <w:rsid w:val="00271495"/>
    <w:rsid w:val="0027767A"/>
    <w:rsid w:val="002779BB"/>
    <w:rsid w:val="00281782"/>
    <w:rsid w:val="002825E3"/>
    <w:rsid w:val="00296DD0"/>
    <w:rsid w:val="002B0D3F"/>
    <w:rsid w:val="002B0E1E"/>
    <w:rsid w:val="002B2D7E"/>
    <w:rsid w:val="002B6692"/>
    <w:rsid w:val="002C6A17"/>
    <w:rsid w:val="002C7533"/>
    <w:rsid w:val="002E0653"/>
    <w:rsid w:val="002E33CB"/>
    <w:rsid w:val="002E45EC"/>
    <w:rsid w:val="002F4E1B"/>
    <w:rsid w:val="002F6C9C"/>
    <w:rsid w:val="003117BC"/>
    <w:rsid w:val="003121B2"/>
    <w:rsid w:val="003154F9"/>
    <w:rsid w:val="00330143"/>
    <w:rsid w:val="00340B54"/>
    <w:rsid w:val="0034178F"/>
    <w:rsid w:val="00343F60"/>
    <w:rsid w:val="0034419D"/>
    <w:rsid w:val="003478DA"/>
    <w:rsid w:val="00354C54"/>
    <w:rsid w:val="00354FC9"/>
    <w:rsid w:val="00356BED"/>
    <w:rsid w:val="00357E79"/>
    <w:rsid w:val="00366ECB"/>
    <w:rsid w:val="003857A7"/>
    <w:rsid w:val="003A0081"/>
    <w:rsid w:val="003A1FF8"/>
    <w:rsid w:val="003A2FCC"/>
    <w:rsid w:val="003A7837"/>
    <w:rsid w:val="003B1CE9"/>
    <w:rsid w:val="003B7412"/>
    <w:rsid w:val="003C4E8B"/>
    <w:rsid w:val="003D4ED5"/>
    <w:rsid w:val="003E21A9"/>
    <w:rsid w:val="003F582C"/>
    <w:rsid w:val="0040222F"/>
    <w:rsid w:val="00402302"/>
    <w:rsid w:val="004138CF"/>
    <w:rsid w:val="00417861"/>
    <w:rsid w:val="004265F2"/>
    <w:rsid w:val="004275F8"/>
    <w:rsid w:val="00435136"/>
    <w:rsid w:val="00437DC1"/>
    <w:rsid w:val="004424C2"/>
    <w:rsid w:val="004466ED"/>
    <w:rsid w:val="0044728F"/>
    <w:rsid w:val="004543E1"/>
    <w:rsid w:val="00454431"/>
    <w:rsid w:val="00460FE3"/>
    <w:rsid w:val="004816F2"/>
    <w:rsid w:val="004A37B0"/>
    <w:rsid w:val="004A4C42"/>
    <w:rsid w:val="004B7D56"/>
    <w:rsid w:val="004F534E"/>
    <w:rsid w:val="00525829"/>
    <w:rsid w:val="00526CA2"/>
    <w:rsid w:val="00531976"/>
    <w:rsid w:val="00536422"/>
    <w:rsid w:val="005373C0"/>
    <w:rsid w:val="00554020"/>
    <w:rsid w:val="00555DE5"/>
    <w:rsid w:val="005614FF"/>
    <w:rsid w:val="00571299"/>
    <w:rsid w:val="00571372"/>
    <w:rsid w:val="00573B26"/>
    <w:rsid w:val="005750B3"/>
    <w:rsid w:val="00575DE3"/>
    <w:rsid w:val="00581D07"/>
    <w:rsid w:val="005C2DAE"/>
    <w:rsid w:val="005C3B4D"/>
    <w:rsid w:val="005C5CBF"/>
    <w:rsid w:val="005D5A07"/>
    <w:rsid w:val="005D60B9"/>
    <w:rsid w:val="005E4570"/>
    <w:rsid w:val="005F09FF"/>
    <w:rsid w:val="005F5381"/>
    <w:rsid w:val="005F6297"/>
    <w:rsid w:val="00623CC1"/>
    <w:rsid w:val="00631532"/>
    <w:rsid w:val="006342C5"/>
    <w:rsid w:val="00634806"/>
    <w:rsid w:val="00642A90"/>
    <w:rsid w:val="00650ACA"/>
    <w:rsid w:val="00654562"/>
    <w:rsid w:val="006737EC"/>
    <w:rsid w:val="00674523"/>
    <w:rsid w:val="006A394D"/>
    <w:rsid w:val="006B4FBD"/>
    <w:rsid w:val="006B57C8"/>
    <w:rsid w:val="006B6767"/>
    <w:rsid w:val="006C4140"/>
    <w:rsid w:val="006D617F"/>
    <w:rsid w:val="006E623D"/>
    <w:rsid w:val="006F2C88"/>
    <w:rsid w:val="006F48B2"/>
    <w:rsid w:val="006F504D"/>
    <w:rsid w:val="00700B7C"/>
    <w:rsid w:val="007017C3"/>
    <w:rsid w:val="00706381"/>
    <w:rsid w:val="0071427D"/>
    <w:rsid w:val="00714365"/>
    <w:rsid w:val="00715363"/>
    <w:rsid w:val="00724256"/>
    <w:rsid w:val="0073616E"/>
    <w:rsid w:val="007467D8"/>
    <w:rsid w:val="00757A1E"/>
    <w:rsid w:val="007630B1"/>
    <w:rsid w:val="007712CD"/>
    <w:rsid w:val="007776A6"/>
    <w:rsid w:val="0078711F"/>
    <w:rsid w:val="007B0644"/>
    <w:rsid w:val="007B13FA"/>
    <w:rsid w:val="007B4575"/>
    <w:rsid w:val="007B5F25"/>
    <w:rsid w:val="007C7077"/>
    <w:rsid w:val="007D36C5"/>
    <w:rsid w:val="007D4461"/>
    <w:rsid w:val="007D767C"/>
    <w:rsid w:val="007F3B30"/>
    <w:rsid w:val="007F4885"/>
    <w:rsid w:val="00805C24"/>
    <w:rsid w:val="00813A3D"/>
    <w:rsid w:val="00830AF5"/>
    <w:rsid w:val="00834BFF"/>
    <w:rsid w:val="008462B8"/>
    <w:rsid w:val="00850063"/>
    <w:rsid w:val="0087000C"/>
    <w:rsid w:val="008701B3"/>
    <w:rsid w:val="008719EB"/>
    <w:rsid w:val="00881807"/>
    <w:rsid w:val="00891043"/>
    <w:rsid w:val="00894205"/>
    <w:rsid w:val="008A1C67"/>
    <w:rsid w:val="008A5008"/>
    <w:rsid w:val="008A784F"/>
    <w:rsid w:val="008B3AE9"/>
    <w:rsid w:val="008C0BEF"/>
    <w:rsid w:val="008C5134"/>
    <w:rsid w:val="008D2B09"/>
    <w:rsid w:val="008D5447"/>
    <w:rsid w:val="008E2F59"/>
    <w:rsid w:val="008E7528"/>
    <w:rsid w:val="00905825"/>
    <w:rsid w:val="00931EEA"/>
    <w:rsid w:val="00937384"/>
    <w:rsid w:val="00946D49"/>
    <w:rsid w:val="009515BA"/>
    <w:rsid w:val="00954341"/>
    <w:rsid w:val="00961F04"/>
    <w:rsid w:val="00985209"/>
    <w:rsid w:val="00990BE1"/>
    <w:rsid w:val="009A0BC4"/>
    <w:rsid w:val="009B6C9C"/>
    <w:rsid w:val="009B6EC3"/>
    <w:rsid w:val="009C1218"/>
    <w:rsid w:val="009D09C4"/>
    <w:rsid w:val="009F0A2B"/>
    <w:rsid w:val="00A0432D"/>
    <w:rsid w:val="00A07B27"/>
    <w:rsid w:val="00A10D2D"/>
    <w:rsid w:val="00A141FA"/>
    <w:rsid w:val="00A35BBF"/>
    <w:rsid w:val="00A41EB6"/>
    <w:rsid w:val="00A428DA"/>
    <w:rsid w:val="00A42B5B"/>
    <w:rsid w:val="00A4684A"/>
    <w:rsid w:val="00A479A0"/>
    <w:rsid w:val="00A54053"/>
    <w:rsid w:val="00A731E6"/>
    <w:rsid w:val="00A83D39"/>
    <w:rsid w:val="00AB0518"/>
    <w:rsid w:val="00AC0505"/>
    <w:rsid w:val="00AC6438"/>
    <w:rsid w:val="00AF77C5"/>
    <w:rsid w:val="00B02942"/>
    <w:rsid w:val="00B03616"/>
    <w:rsid w:val="00B044DC"/>
    <w:rsid w:val="00B0665D"/>
    <w:rsid w:val="00B21E7B"/>
    <w:rsid w:val="00B23A11"/>
    <w:rsid w:val="00B26F66"/>
    <w:rsid w:val="00B439CB"/>
    <w:rsid w:val="00B46DED"/>
    <w:rsid w:val="00B518D4"/>
    <w:rsid w:val="00B51FB5"/>
    <w:rsid w:val="00B60F8A"/>
    <w:rsid w:val="00B662F7"/>
    <w:rsid w:val="00B73BF9"/>
    <w:rsid w:val="00B76549"/>
    <w:rsid w:val="00B822AE"/>
    <w:rsid w:val="00B901B4"/>
    <w:rsid w:val="00B94741"/>
    <w:rsid w:val="00BA430A"/>
    <w:rsid w:val="00BA6202"/>
    <w:rsid w:val="00BB7846"/>
    <w:rsid w:val="00BC52D5"/>
    <w:rsid w:val="00BC784B"/>
    <w:rsid w:val="00BD3079"/>
    <w:rsid w:val="00BD3FC3"/>
    <w:rsid w:val="00BE4A11"/>
    <w:rsid w:val="00BE505D"/>
    <w:rsid w:val="00BF22BF"/>
    <w:rsid w:val="00BF31F7"/>
    <w:rsid w:val="00C03E82"/>
    <w:rsid w:val="00C164C6"/>
    <w:rsid w:val="00C20745"/>
    <w:rsid w:val="00C24D36"/>
    <w:rsid w:val="00C41BCD"/>
    <w:rsid w:val="00C4244D"/>
    <w:rsid w:val="00C659F8"/>
    <w:rsid w:val="00C7107C"/>
    <w:rsid w:val="00CB0012"/>
    <w:rsid w:val="00CE0D06"/>
    <w:rsid w:val="00D0381D"/>
    <w:rsid w:val="00D1154F"/>
    <w:rsid w:val="00D23086"/>
    <w:rsid w:val="00D25C34"/>
    <w:rsid w:val="00D25D84"/>
    <w:rsid w:val="00D274C1"/>
    <w:rsid w:val="00D30DFC"/>
    <w:rsid w:val="00D34EBB"/>
    <w:rsid w:val="00D35BE4"/>
    <w:rsid w:val="00D4058C"/>
    <w:rsid w:val="00D45729"/>
    <w:rsid w:val="00D52DA1"/>
    <w:rsid w:val="00D829FF"/>
    <w:rsid w:val="00D953A9"/>
    <w:rsid w:val="00DA0AA0"/>
    <w:rsid w:val="00DA2376"/>
    <w:rsid w:val="00DC7123"/>
    <w:rsid w:val="00DD073D"/>
    <w:rsid w:val="00DE21F3"/>
    <w:rsid w:val="00DF0848"/>
    <w:rsid w:val="00E11623"/>
    <w:rsid w:val="00E11656"/>
    <w:rsid w:val="00E16CD2"/>
    <w:rsid w:val="00E27DD7"/>
    <w:rsid w:val="00E31DEA"/>
    <w:rsid w:val="00E33E07"/>
    <w:rsid w:val="00E35627"/>
    <w:rsid w:val="00E368B7"/>
    <w:rsid w:val="00E36E9E"/>
    <w:rsid w:val="00E57ACB"/>
    <w:rsid w:val="00E62952"/>
    <w:rsid w:val="00E83E50"/>
    <w:rsid w:val="00E86038"/>
    <w:rsid w:val="00EA3DD3"/>
    <w:rsid w:val="00EB72AB"/>
    <w:rsid w:val="00EB7677"/>
    <w:rsid w:val="00EF1683"/>
    <w:rsid w:val="00EF33A2"/>
    <w:rsid w:val="00F00D4E"/>
    <w:rsid w:val="00F033B0"/>
    <w:rsid w:val="00F0454E"/>
    <w:rsid w:val="00F070C1"/>
    <w:rsid w:val="00F111F4"/>
    <w:rsid w:val="00F16773"/>
    <w:rsid w:val="00F200D0"/>
    <w:rsid w:val="00F20FB8"/>
    <w:rsid w:val="00F32B95"/>
    <w:rsid w:val="00F455AD"/>
    <w:rsid w:val="00F544EB"/>
    <w:rsid w:val="00F57C6C"/>
    <w:rsid w:val="00F62AEB"/>
    <w:rsid w:val="00F64BF0"/>
    <w:rsid w:val="00F679E6"/>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2226166"/>
  <w15:chartTrackingRefBased/>
  <w15:docId w15:val="{BA36E1C0-C45B-4165-A17F-3B805214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6F66"/>
    <w:rPr>
      <w:color w:val="0000FF"/>
      <w:u w:val="single"/>
    </w:rPr>
  </w:style>
  <w:style w:type="character" w:styleId="FollowedHyperlink">
    <w:name w:val="FollowedHyperlink"/>
    <w:rsid w:val="00B60F8A"/>
    <w:rPr>
      <w:color w:val="800080"/>
      <w:u w:val="single"/>
    </w:rPr>
  </w:style>
  <w:style w:type="paragraph" w:styleId="PlainText">
    <w:name w:val="Plain Text"/>
    <w:basedOn w:val="Normal"/>
    <w:link w:val="PlainTextChar"/>
    <w:uiPriority w:val="99"/>
    <w:unhideWhenUsed/>
    <w:rsid w:val="00D45729"/>
    <w:rPr>
      <w:rFonts w:ascii="Consolas" w:eastAsia="Calibri" w:hAnsi="Consolas" w:cs="Consolas"/>
      <w:sz w:val="21"/>
      <w:szCs w:val="21"/>
    </w:rPr>
  </w:style>
  <w:style w:type="character" w:customStyle="1" w:styleId="PlainTextChar">
    <w:name w:val="Plain Text Char"/>
    <w:link w:val="PlainText"/>
    <w:uiPriority w:val="99"/>
    <w:rsid w:val="00D45729"/>
    <w:rPr>
      <w:rFonts w:ascii="Consolas" w:eastAsia="Calibri" w:hAnsi="Consolas" w:cs="Consolas"/>
      <w:sz w:val="21"/>
      <w:szCs w:val="21"/>
    </w:rPr>
  </w:style>
  <w:style w:type="character" w:styleId="Strong">
    <w:name w:val="Strong"/>
    <w:uiPriority w:val="22"/>
    <w:qFormat/>
    <w:rsid w:val="00AB0518"/>
    <w:rPr>
      <w:b/>
      <w:bCs/>
    </w:rPr>
  </w:style>
  <w:style w:type="character" w:styleId="UnresolvedMention">
    <w:name w:val="Unresolved Mention"/>
    <w:basedOn w:val="DefaultParagraphFont"/>
    <w:uiPriority w:val="99"/>
    <w:semiHidden/>
    <w:unhideWhenUsed/>
    <w:rsid w:val="0071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391274080">
      <w:bodyDiv w:val="1"/>
      <w:marLeft w:val="0"/>
      <w:marRight w:val="0"/>
      <w:marTop w:val="0"/>
      <w:marBottom w:val="0"/>
      <w:divBdr>
        <w:top w:val="none" w:sz="0" w:space="0" w:color="auto"/>
        <w:left w:val="none" w:sz="0" w:space="0" w:color="auto"/>
        <w:bottom w:val="none" w:sz="0" w:space="0" w:color="auto"/>
        <w:right w:val="none" w:sz="0" w:space="0" w:color="auto"/>
      </w:divBdr>
    </w:div>
    <w:div w:id="8019665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107388015">
      <w:bodyDiv w:val="1"/>
      <w:marLeft w:val="0"/>
      <w:marRight w:val="0"/>
      <w:marTop w:val="0"/>
      <w:marBottom w:val="0"/>
      <w:divBdr>
        <w:top w:val="none" w:sz="0" w:space="0" w:color="auto"/>
        <w:left w:val="none" w:sz="0" w:space="0" w:color="auto"/>
        <w:bottom w:val="none" w:sz="0" w:space="0" w:color="auto"/>
        <w:right w:val="none" w:sz="0" w:space="0" w:color="auto"/>
      </w:divBdr>
    </w:div>
    <w:div w:id="1134760502">
      <w:bodyDiv w:val="1"/>
      <w:marLeft w:val="0"/>
      <w:marRight w:val="0"/>
      <w:marTop w:val="0"/>
      <w:marBottom w:val="0"/>
      <w:divBdr>
        <w:top w:val="none" w:sz="0" w:space="0" w:color="auto"/>
        <w:left w:val="none" w:sz="0" w:space="0" w:color="auto"/>
        <w:bottom w:val="none" w:sz="0" w:space="0" w:color="auto"/>
        <w:right w:val="none" w:sz="0" w:space="0" w:color="auto"/>
      </w:divBdr>
    </w:div>
    <w:div w:id="1806655700">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technical-resources/standards-and-guidelines" TargetMode="External"/><Relationship Id="rId3" Type="http://schemas.openxmlformats.org/officeDocument/2006/relationships/settings" Target="settings.xml"/><Relationship Id="rId7" Type="http://schemas.openxmlformats.org/officeDocument/2006/relationships/hyperlink" Target="http://www.ashrae.org/resources--publications/free-resources/listser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rae.org/technical-resources/standards-and-guidelines/standards-actions" TargetMode="External"/><Relationship Id="rId11" Type="http://schemas.openxmlformats.org/officeDocument/2006/relationships/theme" Target="theme/theme1.xml"/><Relationship Id="rId5" Type="http://schemas.openxmlformats.org/officeDocument/2006/relationships/hyperlink" Target="https://www.ashrae.org/technical-resources/standards-and-guidelines/standards-ac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1431</CharactersWithSpaces>
  <SharedDoc>false</SharedDoc>
  <HLinks>
    <vt:vector size="30" baseType="variant">
      <vt:variant>
        <vt:i4>5308494</vt:i4>
      </vt:variant>
      <vt:variant>
        <vt:i4>12</vt:i4>
      </vt:variant>
      <vt:variant>
        <vt:i4>0</vt:i4>
      </vt:variant>
      <vt:variant>
        <vt:i4>5</vt:i4>
      </vt:variant>
      <vt:variant>
        <vt:lpwstr>http://www.ashe.org/</vt:lpwstr>
      </vt:variant>
      <vt:variant>
        <vt:lpwstr/>
      </vt:variant>
      <vt:variant>
        <vt:i4>4259863</vt:i4>
      </vt:variant>
      <vt:variant>
        <vt:i4>9</vt:i4>
      </vt:variant>
      <vt:variant>
        <vt:i4>0</vt:i4>
      </vt:variant>
      <vt:variant>
        <vt:i4>5</vt:i4>
      </vt:variant>
      <vt:variant>
        <vt:lpwstr>http://www.ashrae.org/standards-research--technology/</vt:lpwstr>
      </vt:variant>
      <vt:variant>
        <vt:lpwstr/>
      </vt:variant>
      <vt:variant>
        <vt:i4>3801205</vt:i4>
      </vt:variant>
      <vt:variant>
        <vt:i4>6</vt:i4>
      </vt:variant>
      <vt:variant>
        <vt:i4>0</vt:i4>
      </vt:variant>
      <vt:variant>
        <vt:i4>5</vt:i4>
      </vt:variant>
      <vt:variant>
        <vt:lpwstr>http://www.ashrae.org/resources--publications/free-resources/listserves</vt:lpwstr>
      </vt:variant>
      <vt:variant>
        <vt:lpwstr/>
      </vt:variant>
      <vt:variant>
        <vt:i4>4128878</vt:i4>
      </vt:variant>
      <vt:variant>
        <vt:i4>3</vt:i4>
      </vt:variant>
      <vt:variant>
        <vt:i4>0</vt:i4>
      </vt:variant>
      <vt:variant>
        <vt:i4>5</vt:i4>
      </vt:variant>
      <vt:variant>
        <vt:lpwstr>http://www.ashrae.org/standards-research--technology/standards-actions</vt:lpwstr>
      </vt:variant>
      <vt:variant>
        <vt:lpwstr/>
      </vt:variant>
      <vt:variant>
        <vt:i4>7733287</vt:i4>
      </vt:variant>
      <vt:variant>
        <vt:i4>0</vt:i4>
      </vt:variant>
      <vt:variant>
        <vt:i4>0</vt:i4>
      </vt:variant>
      <vt:variant>
        <vt:i4>5</vt:i4>
      </vt:variant>
      <vt:variant>
        <vt:lpwstr>https://www.ashrae.org/standards-research--technology/standards-actions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cp:lastModifiedBy>Hammerling, Steve</cp:lastModifiedBy>
  <cp:revision>3</cp:revision>
  <cp:lastPrinted>1900-01-01T05:00:00Z</cp:lastPrinted>
  <dcterms:created xsi:type="dcterms:W3CDTF">2014-05-23T20:30:00Z</dcterms:created>
  <dcterms:modified xsi:type="dcterms:W3CDTF">2023-10-19T20:43:00Z</dcterms:modified>
</cp:coreProperties>
</file>