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639A" w14:textId="77777777" w:rsidR="00A35BBF" w:rsidRPr="00A35BBF" w:rsidRDefault="00A35BBF">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E11623" w14:paraId="3D1A442D" w14:textId="77777777">
        <w:trPr>
          <w:tblCellSpacing w:w="0" w:type="dxa"/>
        </w:trPr>
        <w:tc>
          <w:tcPr>
            <w:tcW w:w="0" w:type="auto"/>
            <w:gridSpan w:val="2"/>
            <w:vAlign w:val="center"/>
          </w:tcPr>
          <w:p w14:paraId="710DE515" w14:textId="77777777" w:rsidR="00E11623" w:rsidRDefault="00E11623">
            <w:pPr>
              <w:pStyle w:val="Heading3"/>
            </w:pPr>
            <w:r>
              <w:t>ASHRAE Technical FAQ</w:t>
            </w:r>
          </w:p>
        </w:tc>
      </w:tr>
      <w:tr w:rsidR="00E11623" w14:paraId="0FA8149F"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E11623" w14:paraId="7111BC13" w14:textId="77777777">
              <w:trPr>
                <w:trHeight w:val="102"/>
                <w:tblCellSpacing w:w="0" w:type="dxa"/>
              </w:trPr>
              <w:tc>
                <w:tcPr>
                  <w:tcW w:w="5000" w:type="pct"/>
                  <w:gridSpan w:val="4"/>
                  <w:vAlign w:val="center"/>
                </w:tcPr>
                <w:p w14:paraId="33B63B67" w14:textId="77777777" w:rsidR="00E11623" w:rsidRDefault="00600EC2">
                  <w:r>
                    <w:pict w14:anchorId="30F596C6">
                      <v:rect id="_x0000_i1025" style="width:0;height:1.5pt" o:hralign="center" o:hrstd="t" o:hr="t" fillcolor="#aca899" stroked="f"/>
                    </w:pict>
                  </w:r>
                </w:p>
              </w:tc>
            </w:tr>
            <w:tr w:rsidR="00E11623" w14:paraId="02163F1B" w14:textId="77777777">
              <w:trPr>
                <w:gridAfter w:val="1"/>
                <w:wAfter w:w="368" w:type="pct"/>
                <w:trHeight w:val="102"/>
                <w:tblCellSpacing w:w="0" w:type="dxa"/>
              </w:trPr>
              <w:tc>
                <w:tcPr>
                  <w:tcW w:w="980" w:type="pct"/>
                  <w:vAlign w:val="center"/>
                </w:tcPr>
                <w:p w14:paraId="5069270D" w14:textId="77777777" w:rsidR="00E11623" w:rsidRDefault="00E11623">
                  <w:r>
                    <w:t xml:space="preserve">ID </w:t>
                  </w:r>
                </w:p>
              </w:tc>
              <w:tc>
                <w:tcPr>
                  <w:tcW w:w="3652" w:type="pct"/>
                  <w:gridSpan w:val="2"/>
                  <w:vAlign w:val="center"/>
                </w:tcPr>
                <w:p w14:paraId="6D0C0B31" w14:textId="77777777" w:rsidR="00E11623" w:rsidRDefault="00471308">
                  <w:r>
                    <w:t>28</w:t>
                  </w:r>
                </w:p>
              </w:tc>
            </w:tr>
            <w:tr w:rsidR="00E11623" w14:paraId="7C9BA689" w14:textId="77777777">
              <w:trPr>
                <w:gridAfter w:val="1"/>
                <w:wAfter w:w="368" w:type="pct"/>
                <w:trHeight w:val="102"/>
                <w:tblCellSpacing w:w="0" w:type="dxa"/>
              </w:trPr>
              <w:tc>
                <w:tcPr>
                  <w:tcW w:w="4632" w:type="pct"/>
                  <w:gridSpan w:val="3"/>
                  <w:vAlign w:val="center"/>
                </w:tcPr>
                <w:p w14:paraId="2A7F9C4B" w14:textId="77777777" w:rsidR="00E11623" w:rsidRDefault="00600EC2">
                  <w:r>
                    <w:pict w14:anchorId="58A5F468">
                      <v:rect id="_x0000_i1026" style="width:0;height:1.5pt" o:hralign="center" o:hrstd="t" o:hr="t" fillcolor="#aca899" stroked="f"/>
                    </w:pict>
                  </w:r>
                </w:p>
              </w:tc>
            </w:tr>
            <w:tr w:rsidR="00E11623" w14:paraId="1EA0DA49" w14:textId="77777777">
              <w:trPr>
                <w:gridAfter w:val="1"/>
                <w:wAfter w:w="368" w:type="pct"/>
                <w:trHeight w:val="102"/>
                <w:tblCellSpacing w:w="0" w:type="dxa"/>
              </w:trPr>
              <w:tc>
                <w:tcPr>
                  <w:tcW w:w="980" w:type="pct"/>
                  <w:vAlign w:val="center"/>
                </w:tcPr>
                <w:p w14:paraId="7A50DCF0" w14:textId="77777777" w:rsidR="00E11623" w:rsidRDefault="00E11623">
                  <w:r>
                    <w:t xml:space="preserve">Question </w:t>
                  </w:r>
                </w:p>
              </w:tc>
              <w:tc>
                <w:tcPr>
                  <w:tcW w:w="3652" w:type="pct"/>
                  <w:gridSpan w:val="2"/>
                  <w:vAlign w:val="center"/>
                </w:tcPr>
                <w:p w14:paraId="0B38D71B" w14:textId="77777777" w:rsidR="00E11623" w:rsidRDefault="00471308">
                  <w:r w:rsidRPr="00471308">
                    <w:t>What is an official interpretation of an ASHRAE Standard, and how do I request one?</w:t>
                  </w:r>
                </w:p>
              </w:tc>
            </w:tr>
            <w:tr w:rsidR="00E11623" w14:paraId="6CBED530" w14:textId="77777777">
              <w:trPr>
                <w:gridAfter w:val="1"/>
                <w:wAfter w:w="368" w:type="pct"/>
                <w:trHeight w:val="102"/>
                <w:tblCellSpacing w:w="0" w:type="dxa"/>
              </w:trPr>
              <w:tc>
                <w:tcPr>
                  <w:tcW w:w="4632" w:type="pct"/>
                  <w:gridSpan w:val="3"/>
                  <w:vAlign w:val="center"/>
                </w:tcPr>
                <w:p w14:paraId="1BE2F432" w14:textId="77777777" w:rsidR="00E11623" w:rsidRDefault="00600EC2">
                  <w:r>
                    <w:pict w14:anchorId="719E28BF">
                      <v:rect id="_x0000_i1027" style="width:0;height:1.5pt" o:hralign="center" o:hrstd="t" o:hr="t" fillcolor="#aca899" stroked="f"/>
                    </w:pict>
                  </w:r>
                </w:p>
              </w:tc>
            </w:tr>
            <w:tr w:rsidR="00E11623" w14:paraId="3F31A6A9" w14:textId="77777777">
              <w:trPr>
                <w:gridAfter w:val="1"/>
                <w:wAfter w:w="368" w:type="pct"/>
                <w:trHeight w:val="102"/>
                <w:tblCellSpacing w:w="0" w:type="dxa"/>
              </w:trPr>
              <w:tc>
                <w:tcPr>
                  <w:tcW w:w="980" w:type="pct"/>
                  <w:vAlign w:val="center"/>
                </w:tcPr>
                <w:p w14:paraId="70058706" w14:textId="77777777" w:rsidR="00E11623" w:rsidRDefault="00E11623">
                  <w:r>
                    <w:t xml:space="preserve">Answer </w:t>
                  </w:r>
                </w:p>
              </w:tc>
              <w:tc>
                <w:tcPr>
                  <w:tcW w:w="3652" w:type="pct"/>
                  <w:gridSpan w:val="2"/>
                  <w:vAlign w:val="center"/>
                </w:tcPr>
                <w:p w14:paraId="1F19E34C" w14:textId="77777777" w:rsidR="00E11623" w:rsidRDefault="00471308" w:rsidP="000B3A2D">
                  <w:r w:rsidRPr="00471308">
                    <w:t xml:space="preserve">An </w:t>
                  </w:r>
                  <w:hyperlink r:id="rId4" w:history="1">
                    <w:r w:rsidRPr="000B3A2D">
                      <w:rPr>
                        <w:rStyle w:val="Hyperlink"/>
                      </w:rPr>
                      <w:t>official interpretation</w:t>
                    </w:r>
                  </w:hyperlink>
                  <w:r w:rsidRPr="000B3A2D">
                    <w:t xml:space="preserve"> is the formal response prepared by a standing or appointed Interpretations Committee to a request for clarification of the meaning of a specific provision of an approved standard. Receipt of comments on an official interpretation may result in reconsideration. Requests for interpretation and comments on interpretations issued should be submitted in writing to the </w:t>
                  </w:r>
                  <w:hyperlink r:id="rId5" w:history="1">
                    <w:r w:rsidRPr="000B3A2D">
                      <w:rPr>
                        <w:rStyle w:val="Hyperlink"/>
                      </w:rPr>
                      <w:t>Manager of Standards</w:t>
                    </w:r>
                  </w:hyperlink>
                  <w:r w:rsidRPr="000B3A2D">
                    <w:t xml:space="preserve"> at ASHRAE. </w:t>
                  </w:r>
                  <w:r w:rsidRPr="000B3A2D">
                    <w:br/>
                  </w:r>
                  <w:r w:rsidRPr="000B3A2D">
                    <w:br/>
                    <w:t xml:space="preserve">Copies of the standard and the latest addenda may be purchased and downloaded on-line at our website, </w:t>
                  </w:r>
                  <w:hyperlink r:id="rId6" w:history="1">
                    <w:r w:rsidR="007D4616" w:rsidRPr="000B3A2D">
                      <w:rPr>
                        <w:rStyle w:val="Hyperlink"/>
                      </w:rPr>
                      <w:t>www.ashrae.org</w:t>
                    </w:r>
                  </w:hyperlink>
                  <w:r w:rsidR="007D4616" w:rsidRPr="000B3A2D">
                    <w:t xml:space="preserve"> </w:t>
                  </w:r>
                  <w:r w:rsidRPr="000B3A2D">
                    <w:t xml:space="preserve">or by calling 1-800-527-4723 in the </w:t>
                  </w:r>
                  <w:smartTag w:uri="urn:schemas-microsoft-com:office:smarttags" w:element="country-region">
                    <w:r w:rsidRPr="000B3A2D">
                      <w:t>USA</w:t>
                    </w:r>
                  </w:smartTag>
                  <w:r w:rsidRPr="000B3A2D">
                    <w:t xml:space="preserve"> and </w:t>
                  </w:r>
                  <w:smartTag w:uri="urn:schemas-microsoft-com:office:smarttags" w:element="country-region">
                    <w:smartTag w:uri="urn:schemas-microsoft-com:office:smarttags" w:element="place">
                      <w:r w:rsidRPr="000B3A2D">
                        <w:t>Canada</w:t>
                      </w:r>
                    </w:smartTag>
                  </w:smartTag>
                  <w:r w:rsidRPr="000B3A2D">
                    <w:t xml:space="preserve"> or 1-404-636-8400 worldwide. Addenda to the standards may be downloaded for free. </w:t>
                  </w:r>
                  <w:r w:rsidRPr="000B3A2D">
                    <w:br/>
                  </w:r>
                  <w:r w:rsidRPr="000B3A2D">
                    <w:br/>
                    <w:t xml:space="preserve">Previous </w:t>
                  </w:r>
                  <w:hyperlink r:id="rId7" w:history="1">
                    <w:r w:rsidRPr="000B3A2D">
                      <w:rPr>
                        <w:rStyle w:val="Hyperlink"/>
                      </w:rPr>
                      <w:t>Official Interpretations</w:t>
                    </w:r>
                  </w:hyperlink>
                  <w:r w:rsidRPr="000B3A2D">
                    <w:t xml:space="preserve"> to</w:t>
                  </w:r>
                  <w:r w:rsidRPr="00471308">
                    <w:t xml:space="preserve"> some ASHRAE standards are also posted on the ASHRAE website and may be downloaded for free.</w:t>
                  </w:r>
                </w:p>
              </w:tc>
            </w:tr>
            <w:tr w:rsidR="00E11623" w14:paraId="44450649" w14:textId="77777777">
              <w:trPr>
                <w:gridAfter w:val="1"/>
                <w:wAfter w:w="368" w:type="pct"/>
                <w:trHeight w:val="102"/>
                <w:tblCellSpacing w:w="0" w:type="dxa"/>
              </w:trPr>
              <w:tc>
                <w:tcPr>
                  <w:tcW w:w="4632" w:type="pct"/>
                  <w:gridSpan w:val="3"/>
                  <w:vAlign w:val="center"/>
                </w:tcPr>
                <w:p w14:paraId="6ED3893E" w14:textId="77777777" w:rsidR="00E11623" w:rsidRDefault="00600EC2">
                  <w:r>
                    <w:pict w14:anchorId="5B8E27F6">
                      <v:rect id="_x0000_i1028" style="width:0;height:1.5pt" o:hralign="center" o:hrstd="t" o:hr="t" fillcolor="#aca899" stroked="f"/>
                    </w:pict>
                  </w:r>
                </w:p>
              </w:tc>
            </w:tr>
            <w:tr w:rsidR="00E11623" w14:paraId="1CD4CA94" w14:textId="77777777">
              <w:trPr>
                <w:gridAfter w:val="1"/>
                <w:wAfter w:w="368" w:type="pct"/>
                <w:trHeight w:val="396"/>
                <w:tblCellSpacing w:w="0" w:type="dxa"/>
              </w:trPr>
              <w:tc>
                <w:tcPr>
                  <w:tcW w:w="980" w:type="pct"/>
                  <w:vAlign w:val="center"/>
                </w:tcPr>
                <w:p w14:paraId="270EF49D" w14:textId="77777777" w:rsidR="00E11623" w:rsidRDefault="00E11623">
                  <w:r>
                    <w:t xml:space="preserve">ASHRAE Pubs </w:t>
                  </w:r>
                </w:p>
              </w:tc>
              <w:tc>
                <w:tcPr>
                  <w:tcW w:w="3652" w:type="pct"/>
                  <w:gridSpan w:val="2"/>
                  <w:vAlign w:val="center"/>
                </w:tcPr>
                <w:p w14:paraId="03CAF990" w14:textId="77777777" w:rsidR="00E11623" w:rsidRDefault="00471308">
                  <w:r w:rsidRPr="00471308">
                    <w:t>ASHRAE Standards</w:t>
                  </w:r>
                </w:p>
              </w:tc>
            </w:tr>
            <w:tr w:rsidR="00E11623" w14:paraId="1790055C" w14:textId="77777777">
              <w:trPr>
                <w:gridAfter w:val="1"/>
                <w:wAfter w:w="368" w:type="pct"/>
                <w:trHeight w:val="198"/>
                <w:tblCellSpacing w:w="0" w:type="dxa"/>
              </w:trPr>
              <w:tc>
                <w:tcPr>
                  <w:tcW w:w="4632" w:type="pct"/>
                  <w:gridSpan w:val="3"/>
                  <w:vAlign w:val="center"/>
                </w:tcPr>
                <w:p w14:paraId="2A6C4B43" w14:textId="77777777" w:rsidR="00E11623" w:rsidRDefault="00600EC2">
                  <w:r>
                    <w:pict w14:anchorId="779FFCE1">
                      <v:rect id="_x0000_i1029" style="width:0;height:1.5pt" o:hralign="center" o:hrstd="t" o:hr="t" fillcolor="#aca899" stroked="f"/>
                    </w:pict>
                  </w:r>
                </w:p>
              </w:tc>
            </w:tr>
            <w:tr w:rsidR="00B9684C" w14:paraId="6DBF2ACC" w14:textId="77777777">
              <w:trPr>
                <w:gridAfter w:val="1"/>
                <w:wAfter w:w="368" w:type="pct"/>
                <w:trHeight w:val="396"/>
                <w:tblCellSpacing w:w="0" w:type="dxa"/>
              </w:trPr>
              <w:tc>
                <w:tcPr>
                  <w:tcW w:w="980" w:type="pct"/>
                  <w:vAlign w:val="center"/>
                </w:tcPr>
                <w:p w14:paraId="0B2A60DC" w14:textId="77777777" w:rsidR="00B9684C" w:rsidRDefault="00B9684C">
                  <w:r>
                    <w:t xml:space="preserve">Topic References </w:t>
                  </w:r>
                </w:p>
              </w:tc>
              <w:tc>
                <w:tcPr>
                  <w:tcW w:w="3652" w:type="pct"/>
                  <w:gridSpan w:val="2"/>
                </w:tcPr>
                <w:p w14:paraId="73D28181" w14:textId="77777777" w:rsidR="00B9684C" w:rsidRPr="00B9684C" w:rsidRDefault="00471308" w:rsidP="00B9684C">
                  <w:r w:rsidRPr="00471308">
                    <w:t>Official interpretation</w:t>
                  </w:r>
                </w:p>
              </w:tc>
            </w:tr>
            <w:tr w:rsidR="00B9684C" w14:paraId="0FF009A6" w14:textId="77777777">
              <w:trPr>
                <w:trHeight w:val="198"/>
                <w:tblCellSpacing w:w="0" w:type="dxa"/>
              </w:trPr>
              <w:tc>
                <w:tcPr>
                  <w:tcW w:w="5000" w:type="pct"/>
                  <w:gridSpan w:val="4"/>
                  <w:vAlign w:val="center"/>
                </w:tcPr>
                <w:p w14:paraId="59D9B48A" w14:textId="77777777" w:rsidR="00B9684C" w:rsidRDefault="00600EC2">
                  <w:r>
                    <w:pict w14:anchorId="4FB52EE3">
                      <v:rect id="_x0000_i1030" style="width:0;height:1.5pt" o:hralign="center" o:hrstd="t" o:hr="t" fillcolor="#aca899" stroked="f"/>
                    </w:pict>
                  </w:r>
                </w:p>
              </w:tc>
            </w:tr>
            <w:tr w:rsidR="00B9684C" w14:paraId="6FADBF6B"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9684C" w14:paraId="3F924A1B" w14:textId="77777777" w:rsidTr="00967156">
                    <w:trPr>
                      <w:trHeight w:val="316"/>
                      <w:jc w:val="center"/>
                    </w:trPr>
                    <w:tc>
                      <w:tcPr>
                        <w:tcW w:w="460" w:type="dxa"/>
                      </w:tcPr>
                      <w:p w14:paraId="06AECDEB" w14:textId="77777777" w:rsidR="00B9684C" w:rsidRDefault="00B9684C"/>
                    </w:tc>
                    <w:tc>
                      <w:tcPr>
                        <w:tcW w:w="3600" w:type="dxa"/>
                      </w:tcPr>
                      <w:p w14:paraId="7B1E7514" w14:textId="77777777" w:rsidR="00B9684C" w:rsidRDefault="00B9684C">
                        <w:r>
                          <w:t>Cognizant ASHRAE Committees</w:t>
                        </w:r>
                      </w:p>
                    </w:tc>
                    <w:tc>
                      <w:tcPr>
                        <w:tcW w:w="2520" w:type="dxa"/>
                      </w:tcPr>
                      <w:p w14:paraId="5A7E6FC2" w14:textId="77777777" w:rsidR="00B9684C" w:rsidRDefault="00B9684C">
                        <w:r>
                          <w:t>Refer to Organization</w:t>
                        </w:r>
                      </w:p>
                    </w:tc>
                  </w:tr>
                  <w:tr w:rsidR="00B9684C" w14:paraId="434CBBF6" w14:textId="77777777" w:rsidTr="00967156">
                    <w:trPr>
                      <w:trHeight w:val="293"/>
                      <w:jc w:val="center"/>
                    </w:trPr>
                    <w:tc>
                      <w:tcPr>
                        <w:tcW w:w="460" w:type="dxa"/>
                      </w:tcPr>
                      <w:p w14:paraId="6A31C579" w14:textId="77777777" w:rsidR="00B9684C" w:rsidRDefault="00B9684C">
                        <w:r>
                          <w:t>1</w:t>
                        </w:r>
                      </w:p>
                    </w:tc>
                    <w:tc>
                      <w:tcPr>
                        <w:tcW w:w="3600" w:type="dxa"/>
                      </w:tcPr>
                      <w:p w14:paraId="1271A0BB" w14:textId="18AD0321" w:rsidR="00B9684C" w:rsidRDefault="00600EC2">
                        <w:hyperlink r:id="rId8" w:history="1">
                          <w:r w:rsidR="00471308" w:rsidRPr="000B3A2D">
                            <w:rPr>
                              <w:rStyle w:val="Hyperlink"/>
                            </w:rPr>
                            <w:t>ST</w:t>
                          </w:r>
                          <w:r w:rsidR="00471308" w:rsidRPr="000B3A2D">
                            <w:rPr>
                              <w:rStyle w:val="Hyperlink"/>
                            </w:rPr>
                            <w:t>D</w:t>
                          </w:r>
                          <w:r w:rsidR="00471308" w:rsidRPr="000B3A2D">
                            <w:rPr>
                              <w:rStyle w:val="Hyperlink"/>
                            </w:rPr>
                            <w:t>S</w:t>
                          </w:r>
                        </w:hyperlink>
                      </w:p>
                    </w:tc>
                    <w:tc>
                      <w:tcPr>
                        <w:tcW w:w="2520" w:type="dxa"/>
                      </w:tcPr>
                      <w:p w14:paraId="2C2FDD62" w14:textId="77777777" w:rsidR="00B9684C" w:rsidRDefault="00B9684C"/>
                    </w:tc>
                  </w:tr>
                  <w:tr w:rsidR="00B9684C" w14:paraId="54DE111F" w14:textId="77777777" w:rsidTr="00967156">
                    <w:trPr>
                      <w:trHeight w:val="293"/>
                      <w:jc w:val="center"/>
                    </w:trPr>
                    <w:tc>
                      <w:tcPr>
                        <w:tcW w:w="460" w:type="dxa"/>
                      </w:tcPr>
                      <w:p w14:paraId="71D3B185" w14:textId="77777777" w:rsidR="00B9684C" w:rsidRDefault="00B9684C">
                        <w:r>
                          <w:t>2</w:t>
                        </w:r>
                      </w:p>
                    </w:tc>
                    <w:tc>
                      <w:tcPr>
                        <w:tcW w:w="3600" w:type="dxa"/>
                      </w:tcPr>
                      <w:p w14:paraId="614E1D65" w14:textId="77777777" w:rsidR="00B9684C" w:rsidRDefault="00B9684C"/>
                    </w:tc>
                    <w:tc>
                      <w:tcPr>
                        <w:tcW w:w="2520" w:type="dxa"/>
                      </w:tcPr>
                      <w:p w14:paraId="0CCAA30E" w14:textId="77777777" w:rsidR="00B9684C" w:rsidRDefault="00B9684C"/>
                    </w:tc>
                  </w:tr>
                  <w:tr w:rsidR="00B9684C" w14:paraId="26BC6D0D" w14:textId="77777777" w:rsidTr="00967156">
                    <w:trPr>
                      <w:trHeight w:val="293"/>
                      <w:jc w:val="center"/>
                    </w:trPr>
                    <w:tc>
                      <w:tcPr>
                        <w:tcW w:w="460" w:type="dxa"/>
                      </w:tcPr>
                      <w:p w14:paraId="6643C593" w14:textId="77777777" w:rsidR="00B9684C" w:rsidRDefault="00B9684C">
                        <w:r>
                          <w:t>3</w:t>
                        </w:r>
                      </w:p>
                    </w:tc>
                    <w:tc>
                      <w:tcPr>
                        <w:tcW w:w="3600" w:type="dxa"/>
                      </w:tcPr>
                      <w:p w14:paraId="50FF8725" w14:textId="77777777" w:rsidR="00B9684C" w:rsidRDefault="00B9684C"/>
                    </w:tc>
                    <w:tc>
                      <w:tcPr>
                        <w:tcW w:w="2520" w:type="dxa"/>
                      </w:tcPr>
                      <w:p w14:paraId="75F0821C" w14:textId="77777777" w:rsidR="00B9684C" w:rsidRDefault="00B9684C"/>
                    </w:tc>
                  </w:tr>
                  <w:tr w:rsidR="00B9684C" w14:paraId="076AFB79" w14:textId="77777777" w:rsidTr="00967156">
                    <w:trPr>
                      <w:trHeight w:val="316"/>
                      <w:jc w:val="center"/>
                    </w:trPr>
                    <w:tc>
                      <w:tcPr>
                        <w:tcW w:w="460" w:type="dxa"/>
                      </w:tcPr>
                      <w:p w14:paraId="25B04F63" w14:textId="77777777" w:rsidR="00B9684C" w:rsidRDefault="00B9684C">
                        <w:r>
                          <w:t>4</w:t>
                        </w:r>
                      </w:p>
                    </w:tc>
                    <w:tc>
                      <w:tcPr>
                        <w:tcW w:w="3600" w:type="dxa"/>
                      </w:tcPr>
                      <w:p w14:paraId="77E23D43" w14:textId="77777777" w:rsidR="00B9684C" w:rsidRDefault="00B9684C"/>
                    </w:tc>
                    <w:tc>
                      <w:tcPr>
                        <w:tcW w:w="2520" w:type="dxa"/>
                      </w:tcPr>
                      <w:p w14:paraId="3D552B4D" w14:textId="77777777" w:rsidR="00B9684C" w:rsidRDefault="00B9684C"/>
                    </w:tc>
                  </w:tr>
                  <w:tr w:rsidR="00B9684C" w14:paraId="7540D859" w14:textId="77777777" w:rsidTr="00967156">
                    <w:trPr>
                      <w:trHeight w:val="316"/>
                      <w:jc w:val="center"/>
                    </w:trPr>
                    <w:tc>
                      <w:tcPr>
                        <w:tcW w:w="460" w:type="dxa"/>
                      </w:tcPr>
                      <w:p w14:paraId="2E3E03E9" w14:textId="77777777" w:rsidR="00B9684C" w:rsidRDefault="00B9684C">
                        <w:r>
                          <w:t>5</w:t>
                        </w:r>
                      </w:p>
                    </w:tc>
                    <w:tc>
                      <w:tcPr>
                        <w:tcW w:w="3600" w:type="dxa"/>
                      </w:tcPr>
                      <w:p w14:paraId="1C28C8E7" w14:textId="77777777" w:rsidR="00B9684C" w:rsidRDefault="00B9684C"/>
                    </w:tc>
                    <w:tc>
                      <w:tcPr>
                        <w:tcW w:w="2520" w:type="dxa"/>
                      </w:tcPr>
                      <w:p w14:paraId="63B015CA" w14:textId="77777777" w:rsidR="00B9684C" w:rsidRDefault="00B9684C"/>
                    </w:tc>
                  </w:tr>
                </w:tbl>
                <w:p w14:paraId="53B8B2BC" w14:textId="77777777" w:rsidR="00B9684C" w:rsidRDefault="00B9684C"/>
              </w:tc>
            </w:tr>
            <w:tr w:rsidR="00B9684C" w14:paraId="39771133" w14:textId="77777777">
              <w:trPr>
                <w:trHeight w:val="212"/>
                <w:tblCellSpacing w:w="0" w:type="dxa"/>
              </w:trPr>
              <w:tc>
                <w:tcPr>
                  <w:tcW w:w="5000" w:type="pct"/>
                  <w:gridSpan w:val="4"/>
                  <w:vAlign w:val="center"/>
                </w:tcPr>
                <w:p w14:paraId="77956600" w14:textId="77777777" w:rsidR="00B9684C" w:rsidRDefault="00B9684C"/>
              </w:tc>
            </w:tr>
          </w:tbl>
          <w:p w14:paraId="27DBAD77" w14:textId="77777777" w:rsidR="00E11623" w:rsidRDefault="00E11623"/>
        </w:tc>
        <w:tc>
          <w:tcPr>
            <w:tcW w:w="0" w:type="auto"/>
            <w:vAlign w:val="center"/>
          </w:tcPr>
          <w:p w14:paraId="319A8333" w14:textId="77777777" w:rsidR="00E11623" w:rsidRDefault="00E11623">
            <w:pPr>
              <w:rPr>
                <w:sz w:val="20"/>
                <w:szCs w:val="20"/>
              </w:rPr>
            </w:pPr>
          </w:p>
        </w:tc>
      </w:tr>
    </w:tbl>
    <w:p w14:paraId="3E2BCA1D" w14:textId="77777777" w:rsidR="0073616E" w:rsidRPr="005E4570" w:rsidRDefault="0073616E">
      <w:pPr>
        <w:rPr>
          <w:rFonts w:ascii="Arial" w:hAnsi="Arial" w:cs="Arial"/>
        </w:rPr>
      </w:pPr>
    </w:p>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0B55"/>
    <w:rsid w:val="000142F9"/>
    <w:rsid w:val="00026B8D"/>
    <w:rsid w:val="000405EC"/>
    <w:rsid w:val="00043D6E"/>
    <w:rsid w:val="00052491"/>
    <w:rsid w:val="0005555B"/>
    <w:rsid w:val="000A4C5E"/>
    <w:rsid w:val="000B1E64"/>
    <w:rsid w:val="000B3A2D"/>
    <w:rsid w:val="000C17CC"/>
    <w:rsid w:val="000C3D1F"/>
    <w:rsid w:val="000C7C12"/>
    <w:rsid w:val="000D61FB"/>
    <w:rsid w:val="000E41B2"/>
    <w:rsid w:val="000E46C8"/>
    <w:rsid w:val="000E4A46"/>
    <w:rsid w:val="00100D70"/>
    <w:rsid w:val="00105431"/>
    <w:rsid w:val="00111AD9"/>
    <w:rsid w:val="00133B32"/>
    <w:rsid w:val="00136D1C"/>
    <w:rsid w:val="001538C4"/>
    <w:rsid w:val="00167169"/>
    <w:rsid w:val="00176F30"/>
    <w:rsid w:val="00177D55"/>
    <w:rsid w:val="001935DF"/>
    <w:rsid w:val="0019749A"/>
    <w:rsid w:val="001B7130"/>
    <w:rsid w:val="001E20D6"/>
    <w:rsid w:val="001F0C26"/>
    <w:rsid w:val="002051F5"/>
    <w:rsid w:val="0020535B"/>
    <w:rsid w:val="002173A6"/>
    <w:rsid w:val="00252728"/>
    <w:rsid w:val="00257E60"/>
    <w:rsid w:val="00271495"/>
    <w:rsid w:val="0027767A"/>
    <w:rsid w:val="002779BB"/>
    <w:rsid w:val="00281782"/>
    <w:rsid w:val="002825E3"/>
    <w:rsid w:val="00284FAB"/>
    <w:rsid w:val="002B0D3F"/>
    <w:rsid w:val="002B6692"/>
    <w:rsid w:val="002C6A17"/>
    <w:rsid w:val="002E45EC"/>
    <w:rsid w:val="002F4E1B"/>
    <w:rsid w:val="002F6C9C"/>
    <w:rsid w:val="003117BC"/>
    <w:rsid w:val="003121B2"/>
    <w:rsid w:val="00327699"/>
    <w:rsid w:val="003478DA"/>
    <w:rsid w:val="00354FC9"/>
    <w:rsid w:val="00356BED"/>
    <w:rsid w:val="00357E79"/>
    <w:rsid w:val="00373B93"/>
    <w:rsid w:val="003857A7"/>
    <w:rsid w:val="003A0081"/>
    <w:rsid w:val="003A1FF8"/>
    <w:rsid w:val="003A2FCC"/>
    <w:rsid w:val="003A7837"/>
    <w:rsid w:val="003B7412"/>
    <w:rsid w:val="003C4E8B"/>
    <w:rsid w:val="003D4ED5"/>
    <w:rsid w:val="0040222F"/>
    <w:rsid w:val="004138CF"/>
    <w:rsid w:val="004265F2"/>
    <w:rsid w:val="004275F8"/>
    <w:rsid w:val="00437DC1"/>
    <w:rsid w:val="004424C2"/>
    <w:rsid w:val="004466ED"/>
    <w:rsid w:val="0044728F"/>
    <w:rsid w:val="004543E1"/>
    <w:rsid w:val="00454431"/>
    <w:rsid w:val="00460FE3"/>
    <w:rsid w:val="00471308"/>
    <w:rsid w:val="004816F2"/>
    <w:rsid w:val="004A37B0"/>
    <w:rsid w:val="004A4C42"/>
    <w:rsid w:val="004F534E"/>
    <w:rsid w:val="00526CA2"/>
    <w:rsid w:val="005302EB"/>
    <w:rsid w:val="005373C0"/>
    <w:rsid w:val="00551E34"/>
    <w:rsid w:val="00554020"/>
    <w:rsid w:val="00555DE5"/>
    <w:rsid w:val="005614FF"/>
    <w:rsid w:val="00571372"/>
    <w:rsid w:val="00573B26"/>
    <w:rsid w:val="005750B3"/>
    <w:rsid w:val="00575DE3"/>
    <w:rsid w:val="005823A8"/>
    <w:rsid w:val="005C2DAE"/>
    <w:rsid w:val="005C3B4D"/>
    <w:rsid w:val="005D5A07"/>
    <w:rsid w:val="005E4570"/>
    <w:rsid w:val="005F09FF"/>
    <w:rsid w:val="005F5381"/>
    <w:rsid w:val="005F6297"/>
    <w:rsid w:val="00600EC2"/>
    <w:rsid w:val="00634806"/>
    <w:rsid w:val="00643C2F"/>
    <w:rsid w:val="00650ACA"/>
    <w:rsid w:val="006A056D"/>
    <w:rsid w:val="006A394D"/>
    <w:rsid w:val="006B4FBD"/>
    <w:rsid w:val="006B6767"/>
    <w:rsid w:val="006C4140"/>
    <w:rsid w:val="006E623D"/>
    <w:rsid w:val="006F2C88"/>
    <w:rsid w:val="006F48B2"/>
    <w:rsid w:val="007017C3"/>
    <w:rsid w:val="00706381"/>
    <w:rsid w:val="00714365"/>
    <w:rsid w:val="00724256"/>
    <w:rsid w:val="0073616E"/>
    <w:rsid w:val="007467D8"/>
    <w:rsid w:val="00757A1E"/>
    <w:rsid w:val="007630B1"/>
    <w:rsid w:val="007712CD"/>
    <w:rsid w:val="007776A6"/>
    <w:rsid w:val="0078711F"/>
    <w:rsid w:val="007B0644"/>
    <w:rsid w:val="007B13FA"/>
    <w:rsid w:val="007B4575"/>
    <w:rsid w:val="007D4461"/>
    <w:rsid w:val="007D4616"/>
    <w:rsid w:val="007D767C"/>
    <w:rsid w:val="007E3CCE"/>
    <w:rsid w:val="00805C24"/>
    <w:rsid w:val="00813A3D"/>
    <w:rsid w:val="00830AF5"/>
    <w:rsid w:val="008462B8"/>
    <w:rsid w:val="00850063"/>
    <w:rsid w:val="0087000C"/>
    <w:rsid w:val="008701B3"/>
    <w:rsid w:val="00881807"/>
    <w:rsid w:val="008A1C67"/>
    <w:rsid w:val="008A5008"/>
    <w:rsid w:val="008A784F"/>
    <w:rsid w:val="008B3AE9"/>
    <w:rsid w:val="008C0BEF"/>
    <w:rsid w:val="008C5134"/>
    <w:rsid w:val="008D2B09"/>
    <w:rsid w:val="008D5447"/>
    <w:rsid w:val="008E7528"/>
    <w:rsid w:val="00905825"/>
    <w:rsid w:val="00931EEA"/>
    <w:rsid w:val="00946D49"/>
    <w:rsid w:val="009515BA"/>
    <w:rsid w:val="00954341"/>
    <w:rsid w:val="00961F04"/>
    <w:rsid w:val="00967156"/>
    <w:rsid w:val="009A0BC4"/>
    <w:rsid w:val="009B6C9C"/>
    <w:rsid w:val="009C1218"/>
    <w:rsid w:val="009D09C4"/>
    <w:rsid w:val="009F0A2B"/>
    <w:rsid w:val="00A0432D"/>
    <w:rsid w:val="00A072A8"/>
    <w:rsid w:val="00A07B27"/>
    <w:rsid w:val="00A35BBF"/>
    <w:rsid w:val="00A41EB6"/>
    <w:rsid w:val="00A428DA"/>
    <w:rsid w:val="00A42B5B"/>
    <w:rsid w:val="00A4684A"/>
    <w:rsid w:val="00A479A0"/>
    <w:rsid w:val="00A731E6"/>
    <w:rsid w:val="00A745E6"/>
    <w:rsid w:val="00AA3AE7"/>
    <w:rsid w:val="00AC6F76"/>
    <w:rsid w:val="00AF77C5"/>
    <w:rsid w:val="00B02942"/>
    <w:rsid w:val="00B03616"/>
    <w:rsid w:val="00B0665D"/>
    <w:rsid w:val="00B23A11"/>
    <w:rsid w:val="00B439CB"/>
    <w:rsid w:val="00B46DED"/>
    <w:rsid w:val="00B518D4"/>
    <w:rsid w:val="00B51FB5"/>
    <w:rsid w:val="00B662F7"/>
    <w:rsid w:val="00B76549"/>
    <w:rsid w:val="00B901B4"/>
    <w:rsid w:val="00B9684C"/>
    <w:rsid w:val="00BA430A"/>
    <w:rsid w:val="00BA6202"/>
    <w:rsid w:val="00BB7846"/>
    <w:rsid w:val="00BC784B"/>
    <w:rsid w:val="00BD3079"/>
    <w:rsid w:val="00BD3FC3"/>
    <w:rsid w:val="00BE505D"/>
    <w:rsid w:val="00BF31F7"/>
    <w:rsid w:val="00C164C6"/>
    <w:rsid w:val="00C24D36"/>
    <w:rsid w:val="00C41BCD"/>
    <w:rsid w:val="00C57FCE"/>
    <w:rsid w:val="00C659F8"/>
    <w:rsid w:val="00C7107C"/>
    <w:rsid w:val="00CA77B4"/>
    <w:rsid w:val="00CB0012"/>
    <w:rsid w:val="00CE0D06"/>
    <w:rsid w:val="00D1154F"/>
    <w:rsid w:val="00D30DFC"/>
    <w:rsid w:val="00D34EBB"/>
    <w:rsid w:val="00D35BE4"/>
    <w:rsid w:val="00D4058C"/>
    <w:rsid w:val="00D51F4F"/>
    <w:rsid w:val="00D52DA1"/>
    <w:rsid w:val="00D76E1D"/>
    <w:rsid w:val="00D829FF"/>
    <w:rsid w:val="00DA2376"/>
    <w:rsid w:val="00DC0B55"/>
    <w:rsid w:val="00DC7123"/>
    <w:rsid w:val="00DD073D"/>
    <w:rsid w:val="00DE21F3"/>
    <w:rsid w:val="00DF0848"/>
    <w:rsid w:val="00E11623"/>
    <w:rsid w:val="00E1599B"/>
    <w:rsid w:val="00E16CD2"/>
    <w:rsid w:val="00E27DD7"/>
    <w:rsid w:val="00E33E07"/>
    <w:rsid w:val="00E36E9E"/>
    <w:rsid w:val="00E57ACB"/>
    <w:rsid w:val="00E62952"/>
    <w:rsid w:val="00E83E50"/>
    <w:rsid w:val="00E86038"/>
    <w:rsid w:val="00EA3DD3"/>
    <w:rsid w:val="00EB72AB"/>
    <w:rsid w:val="00EB7677"/>
    <w:rsid w:val="00EF33A2"/>
    <w:rsid w:val="00F00D4E"/>
    <w:rsid w:val="00F0454E"/>
    <w:rsid w:val="00F070C1"/>
    <w:rsid w:val="00F16773"/>
    <w:rsid w:val="00F200D0"/>
    <w:rsid w:val="00F20FB8"/>
    <w:rsid w:val="00F455AD"/>
    <w:rsid w:val="00F544EB"/>
    <w:rsid w:val="00F62AEB"/>
    <w:rsid w:val="00F64BF0"/>
    <w:rsid w:val="00F76334"/>
    <w:rsid w:val="00F86CBD"/>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18DA5690"/>
  <w15:chartTrackingRefBased/>
  <w15:docId w15:val="{B4C706D4-18C0-4B26-BE00-F00FAB2C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20D6"/>
    <w:rPr>
      <w:color w:val="0000FF"/>
      <w:u w:val="single"/>
    </w:rPr>
  </w:style>
  <w:style w:type="character" w:styleId="FollowedHyperlink">
    <w:name w:val="FollowedHyperlink"/>
    <w:basedOn w:val="DefaultParagraphFont"/>
    <w:rsid w:val="00551E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communities/committees/standards-committees" TargetMode="External"/><Relationship Id="rId3" Type="http://schemas.openxmlformats.org/officeDocument/2006/relationships/webSettings" Target="webSettings.xml"/><Relationship Id="rId7" Type="http://schemas.openxmlformats.org/officeDocument/2006/relationships/hyperlink" Target="http://www.ashrae.org/standards-research--technology/standards-interpret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rae.org" TargetMode="External"/><Relationship Id="rId5" Type="http://schemas.openxmlformats.org/officeDocument/2006/relationships/hyperlink" Target="mailto:mos@ashrae.net" TargetMode="External"/><Relationship Id="rId10" Type="http://schemas.openxmlformats.org/officeDocument/2006/relationships/theme" Target="theme/theme1.xml"/><Relationship Id="rId4" Type="http://schemas.openxmlformats.org/officeDocument/2006/relationships/hyperlink" Target="http://www.ashrae.org/standards-research--technology/standards-interpreta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1466</CharactersWithSpaces>
  <SharedDoc>false</SharedDoc>
  <HLinks>
    <vt:vector size="30" baseType="variant">
      <vt:variant>
        <vt:i4>6488163</vt:i4>
      </vt:variant>
      <vt:variant>
        <vt:i4>12</vt:i4>
      </vt:variant>
      <vt:variant>
        <vt:i4>0</vt:i4>
      </vt:variant>
      <vt:variant>
        <vt:i4>5</vt:i4>
      </vt:variant>
      <vt:variant>
        <vt:lpwstr>http://www.ashrae.org/society-groups/committees/standards-committee</vt:lpwstr>
      </vt:variant>
      <vt:variant>
        <vt:lpwstr/>
      </vt:variant>
      <vt:variant>
        <vt:i4>3604594</vt:i4>
      </vt:variant>
      <vt:variant>
        <vt:i4>9</vt:i4>
      </vt:variant>
      <vt:variant>
        <vt:i4>0</vt:i4>
      </vt:variant>
      <vt:variant>
        <vt:i4>5</vt:i4>
      </vt:variant>
      <vt:variant>
        <vt:lpwstr>http://www.ashrae.org/standards-research--technology/standards-interpretations</vt:lpwstr>
      </vt:variant>
      <vt:variant>
        <vt:lpwstr/>
      </vt:variant>
      <vt:variant>
        <vt:i4>3145788</vt:i4>
      </vt:variant>
      <vt:variant>
        <vt:i4>6</vt:i4>
      </vt:variant>
      <vt:variant>
        <vt:i4>0</vt:i4>
      </vt:variant>
      <vt:variant>
        <vt:i4>5</vt:i4>
      </vt:variant>
      <vt:variant>
        <vt:lpwstr>http://www.ashrae.org/</vt:lpwstr>
      </vt:variant>
      <vt:variant>
        <vt:lpwstr/>
      </vt:variant>
      <vt:variant>
        <vt:i4>6226031</vt:i4>
      </vt:variant>
      <vt:variant>
        <vt:i4>3</vt:i4>
      </vt:variant>
      <vt:variant>
        <vt:i4>0</vt:i4>
      </vt:variant>
      <vt:variant>
        <vt:i4>5</vt:i4>
      </vt:variant>
      <vt:variant>
        <vt:lpwstr>mailto:mos@ashrae.net</vt:lpwstr>
      </vt:variant>
      <vt:variant>
        <vt:lpwstr/>
      </vt:variant>
      <vt:variant>
        <vt:i4>3604594</vt:i4>
      </vt:variant>
      <vt:variant>
        <vt:i4>0</vt:i4>
      </vt:variant>
      <vt:variant>
        <vt:i4>0</vt:i4>
      </vt:variant>
      <vt:variant>
        <vt:i4>5</vt:i4>
      </vt:variant>
      <vt:variant>
        <vt:lpwstr>http://www.ashrae.org/standards-research--technology/standards-interpretations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Steve Hammerling</cp:lastModifiedBy>
  <cp:revision>3</cp:revision>
  <cp:lastPrinted>1900-01-01T05:00:00Z</cp:lastPrinted>
  <dcterms:created xsi:type="dcterms:W3CDTF">2014-05-27T18:35:00Z</dcterms:created>
  <dcterms:modified xsi:type="dcterms:W3CDTF">2023-10-19T19:15:00Z</dcterms:modified>
</cp:coreProperties>
</file>