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CellSpacing w:w="0" w:type="dxa"/>
        <w:tblCellMar>
          <w:left w:w="0" w:type="dxa"/>
          <w:right w:w="0" w:type="dxa"/>
        </w:tblCellMar>
        <w:tblLook w:val="0000" w:firstRow="0" w:lastRow="0" w:firstColumn="0" w:lastColumn="0" w:noHBand="0" w:noVBand="0"/>
      </w:tblPr>
      <w:tblGrid>
        <w:gridCol w:w="10794"/>
        <w:gridCol w:w="6"/>
      </w:tblGrid>
      <w:tr w:rsidR="00E11623" w:rsidRPr="00565B6A" w14:paraId="36705BEC" w14:textId="77777777" w:rsidTr="00DA1783">
        <w:trPr>
          <w:tblCellSpacing w:w="0" w:type="dxa"/>
        </w:trPr>
        <w:tc>
          <w:tcPr>
            <w:tcW w:w="0" w:type="auto"/>
            <w:gridSpan w:val="2"/>
            <w:vAlign w:val="center"/>
          </w:tcPr>
          <w:p w14:paraId="797C73B8" w14:textId="77777777" w:rsidR="00E11623" w:rsidRPr="00565B6A" w:rsidRDefault="00E11623">
            <w:pPr>
              <w:pStyle w:val="Heading3"/>
              <w:rPr>
                <w:color w:val="000000"/>
              </w:rPr>
            </w:pPr>
            <w:r w:rsidRPr="00565B6A">
              <w:rPr>
                <w:color w:val="000000"/>
              </w:rPr>
              <w:t>ASHRAE Technical FAQ</w:t>
            </w:r>
          </w:p>
        </w:tc>
      </w:tr>
      <w:tr w:rsidR="00E11623" w:rsidRPr="00565B6A" w14:paraId="46CAE789" w14:textId="77777777" w:rsidTr="00DA1783">
        <w:trPr>
          <w:trHeight w:val="8262"/>
          <w:tblCellSpacing w:w="0" w:type="dxa"/>
        </w:trPr>
        <w:tc>
          <w:tcPr>
            <w:tcW w:w="0" w:type="auto"/>
            <w:vAlign w:val="center"/>
          </w:tcPr>
          <w:tbl>
            <w:tblPr>
              <w:tblW w:w="10944" w:type="dxa"/>
              <w:tblCellSpacing w:w="0" w:type="dxa"/>
              <w:tblCellMar>
                <w:top w:w="75" w:type="dxa"/>
                <w:left w:w="75" w:type="dxa"/>
                <w:bottom w:w="75" w:type="dxa"/>
                <w:right w:w="75" w:type="dxa"/>
              </w:tblCellMar>
              <w:tblLook w:val="0000" w:firstRow="0" w:lastRow="0" w:firstColumn="0" w:lastColumn="0" w:noHBand="0" w:noVBand="0"/>
            </w:tblPr>
            <w:tblGrid>
              <w:gridCol w:w="1981"/>
              <w:gridCol w:w="7317"/>
              <w:gridCol w:w="902"/>
              <w:gridCol w:w="744"/>
            </w:tblGrid>
            <w:tr w:rsidR="00E11623" w:rsidRPr="00565B6A" w14:paraId="365A7390" w14:textId="77777777" w:rsidTr="00D95EB9">
              <w:trPr>
                <w:trHeight w:val="102"/>
                <w:tblCellSpacing w:w="0" w:type="dxa"/>
              </w:trPr>
              <w:tc>
                <w:tcPr>
                  <w:tcW w:w="5000" w:type="pct"/>
                  <w:gridSpan w:val="4"/>
                  <w:vAlign w:val="center"/>
                </w:tcPr>
                <w:p w14:paraId="0F832CCD" w14:textId="77777777" w:rsidR="00E11623" w:rsidRPr="00565B6A" w:rsidRDefault="00B03A34">
                  <w:pPr>
                    <w:rPr>
                      <w:color w:val="FF0000"/>
                    </w:rPr>
                  </w:pPr>
                  <w:r>
                    <w:rPr>
                      <w:color w:val="FF0000"/>
                    </w:rPr>
                    <w:pict w14:anchorId="24E6B575">
                      <v:rect id="_x0000_i1025" style="width:0;height:1.5pt" o:hralign="center" o:hrstd="t" o:hr="t" fillcolor="#aca899" stroked="f"/>
                    </w:pict>
                  </w:r>
                </w:p>
              </w:tc>
            </w:tr>
            <w:tr w:rsidR="00E11623" w:rsidRPr="00565B6A" w14:paraId="17A4AAC7" w14:textId="77777777" w:rsidTr="00D95EB9">
              <w:trPr>
                <w:gridAfter w:val="1"/>
                <w:wAfter w:w="340" w:type="pct"/>
                <w:trHeight w:val="102"/>
                <w:tblCellSpacing w:w="0" w:type="dxa"/>
              </w:trPr>
              <w:tc>
                <w:tcPr>
                  <w:tcW w:w="905" w:type="pct"/>
                  <w:vAlign w:val="center"/>
                </w:tcPr>
                <w:p w14:paraId="471032E7" w14:textId="77777777" w:rsidR="00E11623" w:rsidRPr="00565B6A" w:rsidRDefault="00E11623">
                  <w:pPr>
                    <w:rPr>
                      <w:color w:val="000000"/>
                    </w:rPr>
                  </w:pPr>
                  <w:r w:rsidRPr="00565B6A">
                    <w:rPr>
                      <w:color w:val="000000"/>
                    </w:rPr>
                    <w:t xml:space="preserve">ID </w:t>
                  </w:r>
                </w:p>
              </w:tc>
              <w:tc>
                <w:tcPr>
                  <w:tcW w:w="3755" w:type="pct"/>
                  <w:gridSpan w:val="2"/>
                  <w:vAlign w:val="center"/>
                </w:tcPr>
                <w:p w14:paraId="537DAEB8" w14:textId="77777777" w:rsidR="00E11623" w:rsidRPr="00565B6A" w:rsidRDefault="003D31EC">
                  <w:pPr>
                    <w:rPr>
                      <w:color w:val="000000"/>
                    </w:rPr>
                  </w:pPr>
                  <w:r w:rsidRPr="00565B6A">
                    <w:rPr>
                      <w:color w:val="000000"/>
                    </w:rPr>
                    <w:t>93</w:t>
                  </w:r>
                </w:p>
              </w:tc>
            </w:tr>
            <w:tr w:rsidR="00E11623" w:rsidRPr="00565B6A" w14:paraId="43792778" w14:textId="77777777" w:rsidTr="00D95EB9">
              <w:trPr>
                <w:gridAfter w:val="1"/>
                <w:wAfter w:w="340" w:type="pct"/>
                <w:trHeight w:val="102"/>
                <w:tblCellSpacing w:w="0" w:type="dxa"/>
              </w:trPr>
              <w:tc>
                <w:tcPr>
                  <w:tcW w:w="4660" w:type="pct"/>
                  <w:gridSpan w:val="3"/>
                  <w:vAlign w:val="center"/>
                </w:tcPr>
                <w:p w14:paraId="23385748" w14:textId="77777777" w:rsidR="00E11623" w:rsidRPr="00565B6A" w:rsidRDefault="00B03A34">
                  <w:pPr>
                    <w:rPr>
                      <w:color w:val="000000"/>
                    </w:rPr>
                  </w:pPr>
                  <w:r>
                    <w:rPr>
                      <w:color w:val="000000"/>
                    </w:rPr>
                    <w:pict w14:anchorId="41CC1F72">
                      <v:rect id="_x0000_i1026" style="width:0;height:1.5pt" o:hralign="center" o:hrstd="t" o:hr="t" fillcolor="#aca899" stroked="f"/>
                    </w:pict>
                  </w:r>
                </w:p>
              </w:tc>
            </w:tr>
            <w:tr w:rsidR="00E11623" w:rsidRPr="00565B6A" w14:paraId="24C12C05" w14:textId="77777777" w:rsidTr="00D95EB9">
              <w:trPr>
                <w:gridAfter w:val="1"/>
                <w:wAfter w:w="340" w:type="pct"/>
                <w:trHeight w:val="102"/>
                <w:tblCellSpacing w:w="0" w:type="dxa"/>
              </w:trPr>
              <w:tc>
                <w:tcPr>
                  <w:tcW w:w="905" w:type="pct"/>
                  <w:vAlign w:val="center"/>
                </w:tcPr>
                <w:p w14:paraId="19EBF6EB" w14:textId="77777777" w:rsidR="00E11623" w:rsidRPr="00565B6A" w:rsidRDefault="00E11623">
                  <w:pPr>
                    <w:rPr>
                      <w:color w:val="000000"/>
                    </w:rPr>
                  </w:pPr>
                  <w:r w:rsidRPr="00565B6A">
                    <w:rPr>
                      <w:color w:val="000000"/>
                    </w:rPr>
                    <w:t xml:space="preserve">Question </w:t>
                  </w:r>
                </w:p>
              </w:tc>
              <w:tc>
                <w:tcPr>
                  <w:tcW w:w="3755" w:type="pct"/>
                  <w:gridSpan w:val="2"/>
                  <w:vAlign w:val="center"/>
                </w:tcPr>
                <w:p w14:paraId="0C6C646D" w14:textId="77777777" w:rsidR="003D31EC" w:rsidRPr="00565B6A" w:rsidRDefault="003D31EC" w:rsidP="003D31EC">
                  <w:pPr>
                    <w:rPr>
                      <w:b/>
                      <w:bCs/>
                      <w:color w:val="000000"/>
                      <w:u w:val="single"/>
                    </w:rPr>
                  </w:pPr>
                  <w:r w:rsidRPr="00565B6A">
                    <w:rPr>
                      <w:color w:val="000000"/>
                    </w:rPr>
                    <w:t xml:space="preserve">Will recent or future versions of Standard 90.1 surpass the 30% </w:t>
                  </w:r>
                  <w:r w:rsidR="00066185">
                    <w:rPr>
                      <w:color w:val="000000"/>
                    </w:rPr>
                    <w:t xml:space="preserve">better than 90.1-1999 </w:t>
                  </w:r>
                  <w:r w:rsidRPr="00565B6A">
                    <w:rPr>
                      <w:color w:val="000000"/>
                    </w:rPr>
                    <w:t>goal outlined in the AEDGs and will the AEDG’s still be viable publications?</w:t>
                  </w:r>
                </w:p>
                <w:p w14:paraId="35554EEA" w14:textId="77777777" w:rsidR="00E11623" w:rsidRPr="00565B6A" w:rsidRDefault="00E11623">
                  <w:pPr>
                    <w:rPr>
                      <w:color w:val="000000"/>
                    </w:rPr>
                  </w:pPr>
                </w:p>
              </w:tc>
            </w:tr>
            <w:tr w:rsidR="00E11623" w:rsidRPr="00565B6A" w14:paraId="3CE0AEA6" w14:textId="77777777" w:rsidTr="00D95EB9">
              <w:trPr>
                <w:gridAfter w:val="1"/>
                <w:wAfter w:w="340" w:type="pct"/>
                <w:trHeight w:val="102"/>
                <w:tblCellSpacing w:w="0" w:type="dxa"/>
              </w:trPr>
              <w:tc>
                <w:tcPr>
                  <w:tcW w:w="4660" w:type="pct"/>
                  <w:gridSpan w:val="3"/>
                  <w:vAlign w:val="center"/>
                </w:tcPr>
                <w:p w14:paraId="21C27A75" w14:textId="77777777" w:rsidR="00E11623" w:rsidRPr="00565B6A" w:rsidRDefault="00B03A34">
                  <w:pPr>
                    <w:rPr>
                      <w:color w:val="FF0000"/>
                    </w:rPr>
                  </w:pPr>
                  <w:r>
                    <w:rPr>
                      <w:color w:val="FF0000"/>
                    </w:rPr>
                    <w:pict w14:anchorId="4EDF3F5D">
                      <v:rect id="_x0000_i1027" style="width:0;height:1.5pt" o:hralign="center" o:hrstd="t" o:hr="t" fillcolor="#aca899" stroked="f"/>
                    </w:pict>
                  </w:r>
                </w:p>
              </w:tc>
            </w:tr>
            <w:tr w:rsidR="00E11623" w:rsidRPr="00565B6A" w14:paraId="4AE2AFC6" w14:textId="77777777" w:rsidTr="00D95EB9">
              <w:trPr>
                <w:gridAfter w:val="1"/>
                <w:wAfter w:w="340" w:type="pct"/>
                <w:trHeight w:val="102"/>
                <w:tblCellSpacing w:w="0" w:type="dxa"/>
              </w:trPr>
              <w:tc>
                <w:tcPr>
                  <w:tcW w:w="905" w:type="pct"/>
                  <w:vAlign w:val="center"/>
                </w:tcPr>
                <w:p w14:paraId="1298EF79" w14:textId="77777777" w:rsidR="00E11623" w:rsidRPr="00565B6A" w:rsidRDefault="00E11623">
                  <w:pPr>
                    <w:rPr>
                      <w:color w:val="000000"/>
                    </w:rPr>
                  </w:pPr>
                  <w:r w:rsidRPr="00565B6A">
                    <w:rPr>
                      <w:color w:val="000000"/>
                    </w:rPr>
                    <w:t>Long</w:t>
                  </w:r>
                  <w:r w:rsidRPr="00565B6A">
                    <w:rPr>
                      <w:color w:val="000000"/>
                    </w:rPr>
                    <w:br/>
                    <w:t xml:space="preserve">Answer </w:t>
                  </w:r>
                </w:p>
              </w:tc>
              <w:tc>
                <w:tcPr>
                  <w:tcW w:w="3755" w:type="pct"/>
                  <w:gridSpan w:val="2"/>
                  <w:vAlign w:val="center"/>
                </w:tcPr>
                <w:p w14:paraId="1027AE48" w14:textId="6E68520B" w:rsidR="003D31EC" w:rsidRPr="00DA1783" w:rsidRDefault="00066185" w:rsidP="003D31EC">
                  <w:pPr>
                    <w:rPr>
                      <w:color w:val="000000"/>
                    </w:rPr>
                  </w:pPr>
                  <w:r w:rsidRPr="00DA1783">
                    <w:rPr>
                      <w:color w:val="000000"/>
                    </w:rPr>
                    <w:t xml:space="preserve">ASHRAE's series of </w:t>
                  </w:r>
                  <w:hyperlink r:id="rId4" w:history="1">
                    <w:r w:rsidR="00CD0F74" w:rsidRPr="00DA1783">
                      <w:rPr>
                        <w:rStyle w:val="Hyperlink"/>
                      </w:rPr>
                      <w:t>ASHRAE Advanced Energy Design Guides (AEDG)</w:t>
                    </w:r>
                  </w:hyperlink>
                  <w:r w:rsidR="00CD0F74" w:rsidRPr="00DA1783">
                    <w:rPr>
                      <w:rStyle w:val="Hyperlink"/>
                    </w:rPr>
                    <w:t xml:space="preserve"> </w:t>
                  </w:r>
                  <w:r w:rsidRPr="00DA1783">
                    <w:rPr>
                      <w:color w:val="000000"/>
                    </w:rPr>
                    <w:t xml:space="preserve">aim to "achieve 30% energy savings toward a net-zero energy building" based on the 90.1- 1999. </w:t>
                  </w:r>
                  <w:r w:rsidR="003D31EC" w:rsidRPr="00DA1783">
                    <w:rPr>
                      <w:color w:val="000000"/>
                    </w:rPr>
                    <w:t>Certainly as 90.1 gets more stringent, the standard will eventually surpass the energy savings in the 30% AEDGs, however, they will remain excellent tools for energy-efficient design of buildings for quite some time. These guides provide a good starting point for anyone looking for a simple way to improve their energy efficiency and remain a good resource due to the information contained in the how-to tips.</w:t>
                  </w:r>
                </w:p>
                <w:p w14:paraId="5D55B1E8" w14:textId="77777777" w:rsidR="003D31EC" w:rsidRPr="00DA1783" w:rsidRDefault="003D31EC" w:rsidP="003D31EC">
                  <w:pPr>
                    <w:rPr>
                      <w:color w:val="0000FF"/>
                    </w:rPr>
                  </w:pPr>
                </w:p>
                <w:p w14:paraId="3B970280" w14:textId="057CE513" w:rsidR="003D31EC" w:rsidRPr="00DA1783" w:rsidRDefault="003D31EC" w:rsidP="003D31EC">
                  <w:pPr>
                    <w:rPr>
                      <w:color w:val="000000"/>
                    </w:rPr>
                  </w:pPr>
                  <w:r w:rsidRPr="00DA1783">
                    <w:rPr>
                      <w:color w:val="0000FF"/>
                    </w:rPr>
                    <w:t>I</w:t>
                  </w:r>
                  <w:r w:rsidRPr="00DA1783">
                    <w:rPr>
                      <w:color w:val="000000"/>
                    </w:rPr>
                    <w:t xml:space="preserve">n fact, many of the energy simulation results for the AEDGs showed greater than 30% savings (see the </w:t>
                  </w:r>
                  <w:hyperlink r:id="rId5" w:history="1">
                    <w:r w:rsidRPr="00E56E72">
                      <w:rPr>
                        <w:rStyle w:val="Hyperlink"/>
                      </w:rPr>
                      <w:t>Technical Support Documents</w:t>
                    </w:r>
                  </w:hyperlink>
                  <w:r w:rsidRPr="00DA1783">
                    <w:rPr>
                      <w:color w:val="000000"/>
                    </w:rPr>
                    <w:t>); in some climates the recommendations also exceed 90.1-2004 by 30%.</w:t>
                  </w:r>
                </w:p>
                <w:p w14:paraId="2B47AD96" w14:textId="77777777" w:rsidR="003D31EC" w:rsidRPr="00DA1783" w:rsidRDefault="003D31EC" w:rsidP="003D31EC">
                  <w:pPr>
                    <w:rPr>
                      <w:color w:val="000000"/>
                    </w:rPr>
                  </w:pPr>
                  <w:r w:rsidRPr="00DA1783">
                    <w:rPr>
                      <w:color w:val="000000"/>
                    </w:rPr>
                    <w:br/>
                    <w:t xml:space="preserve"> Also, not all areas of the US have incorporated the latest 90.1 standards into code, which would mean those areas would still benefit greatly from the savings outlined in the guide. Many states are slow to adopt the latest versions of 90.1 keeping the 30% AEDGs relevant for several years.  </w:t>
                  </w:r>
                </w:p>
                <w:p w14:paraId="77DB1919" w14:textId="77777777" w:rsidR="003D31EC" w:rsidRPr="00DA1783" w:rsidRDefault="003D31EC" w:rsidP="003D31EC">
                  <w:pPr>
                    <w:rPr>
                      <w:color w:val="000000"/>
                    </w:rPr>
                  </w:pPr>
                  <w:r w:rsidRPr="00DA1783">
                    <w:rPr>
                      <w:color w:val="000000"/>
                    </w:rPr>
                    <w:t> </w:t>
                  </w:r>
                </w:p>
                <w:p w14:paraId="2B5ECA78" w14:textId="77777777" w:rsidR="00BF0EFA" w:rsidRDefault="003D31EC" w:rsidP="003D31EC">
                  <w:pPr>
                    <w:rPr>
                      <w:color w:val="000000"/>
                    </w:rPr>
                  </w:pPr>
                  <w:r w:rsidRPr="00DA1783">
                    <w:rPr>
                      <w:color w:val="000000"/>
                    </w:rPr>
                    <w:t xml:space="preserve">The guides are still useful when comparing to the 2004 and 2007 versions of the 90.1 but the 30% savings erodes to a lower value (still at least 15% relative to 2007). Each of the AEDGs except the Small Office guide (which was developed before the 2004 information was fully available) lists the average savings as compared to 2004. </w:t>
                  </w:r>
                </w:p>
                <w:p w14:paraId="6E8A3721" w14:textId="77777777" w:rsidR="00BF0EFA" w:rsidRDefault="00BF0EFA" w:rsidP="003D31EC">
                  <w:pPr>
                    <w:rPr>
                      <w:color w:val="000000"/>
                    </w:rPr>
                  </w:pPr>
                </w:p>
                <w:p w14:paraId="4771EF83" w14:textId="77777777" w:rsidR="00E11623" w:rsidRPr="00DA1783" w:rsidRDefault="00BF0EFA" w:rsidP="003D31EC">
                  <w:pPr>
                    <w:rPr>
                      <w:color w:val="000000"/>
                    </w:rPr>
                  </w:pPr>
                  <w:r>
                    <w:rPr>
                      <w:color w:val="000000"/>
                    </w:rPr>
                    <w:t>Meanwhile, the</w:t>
                  </w:r>
                  <w:r w:rsidR="003D31EC" w:rsidRPr="00DA1783">
                    <w:rPr>
                      <w:color w:val="000000"/>
                    </w:rPr>
                    <w:t xml:space="preserve"> 50% AEDG’s use Standard 90.1-2004 as a benchmark.</w:t>
                  </w:r>
                  <w:r>
                    <w:rPr>
                      <w:color w:val="000000"/>
                    </w:rPr>
                    <w:t xml:space="preserve">   There are now five guides in the 50% series:  Small to Medium Offices, Medium to Big Box Retail, K-12 Schools, Large Hospitals, and Grocery Stores.   As with the 30% guides, the energy savings are shown in comparison to more recent versions of 90.1 in addition to the 50% savings as compared  to 90.1 -2004.</w:t>
                  </w:r>
                </w:p>
                <w:p w14:paraId="78FE5E9C" w14:textId="77777777" w:rsidR="00EB0E7A" w:rsidRPr="00DA1783" w:rsidRDefault="00EB0E7A" w:rsidP="003D31EC">
                  <w:pPr>
                    <w:rPr>
                      <w:color w:val="000000"/>
                    </w:rPr>
                  </w:pPr>
                </w:p>
                <w:p w14:paraId="518087B3" w14:textId="77777777" w:rsidR="00EB0E7A" w:rsidRPr="00DA1783" w:rsidRDefault="00EB0E7A" w:rsidP="003D31EC">
                  <w:pPr>
                    <w:rPr>
                      <w:color w:val="000000"/>
                    </w:rPr>
                  </w:pPr>
                  <w:r w:rsidRPr="00DA1783">
                    <w:rPr>
                      <w:color w:val="000000"/>
                    </w:rPr>
                    <w:t xml:space="preserve">ASHRAE publications may be purchased downloaded on-line at our website, </w:t>
                  </w:r>
                  <w:hyperlink r:id="rId6" w:history="1">
                    <w:r w:rsidRPr="00DA1783">
                      <w:rPr>
                        <w:rStyle w:val="Hyperlink"/>
                      </w:rPr>
                      <w:t>www.ashrae.org</w:t>
                    </w:r>
                  </w:hyperlink>
                  <w:r w:rsidRPr="00DA1783">
                    <w:rPr>
                      <w:rStyle w:val="Hyperlink"/>
                    </w:rPr>
                    <w:t xml:space="preserve"> </w:t>
                  </w:r>
                  <w:r w:rsidRPr="00DA1783">
                    <w:rPr>
                      <w:color w:val="000000"/>
                    </w:rPr>
                    <w:t>or by calling 1-800-527-4723 in the USA and Canada or 1-404-636-8400 worldwide.</w:t>
                  </w:r>
                </w:p>
              </w:tc>
            </w:tr>
            <w:tr w:rsidR="00E11623" w:rsidRPr="00565B6A" w14:paraId="028323FE" w14:textId="77777777" w:rsidTr="00D95EB9">
              <w:trPr>
                <w:gridAfter w:val="1"/>
                <w:wAfter w:w="340" w:type="pct"/>
                <w:trHeight w:val="212"/>
                <w:tblCellSpacing w:w="0" w:type="dxa"/>
              </w:trPr>
              <w:tc>
                <w:tcPr>
                  <w:tcW w:w="4660" w:type="pct"/>
                  <w:gridSpan w:val="3"/>
                  <w:vAlign w:val="center"/>
                </w:tcPr>
                <w:p w14:paraId="757E1F49" w14:textId="77777777" w:rsidR="00E11623" w:rsidRPr="00DA1783" w:rsidRDefault="00B03A34">
                  <w:pPr>
                    <w:rPr>
                      <w:color w:val="FF0000"/>
                    </w:rPr>
                  </w:pPr>
                  <w:r>
                    <w:rPr>
                      <w:color w:val="FF0000"/>
                    </w:rPr>
                    <w:pict w14:anchorId="658EC2A7">
                      <v:rect id="_x0000_i1028" style="width:0;height:1.5pt" o:hralign="center" o:hrstd="t" o:hr="t" fillcolor="#aca899" stroked="f"/>
                    </w:pict>
                  </w:r>
                </w:p>
              </w:tc>
            </w:tr>
            <w:tr w:rsidR="00E11623" w:rsidRPr="00565B6A" w14:paraId="6AE58688" w14:textId="77777777" w:rsidTr="00D95EB9">
              <w:trPr>
                <w:gridAfter w:val="1"/>
                <w:wAfter w:w="340" w:type="pct"/>
                <w:trHeight w:val="396"/>
                <w:tblCellSpacing w:w="0" w:type="dxa"/>
              </w:trPr>
              <w:tc>
                <w:tcPr>
                  <w:tcW w:w="905" w:type="pct"/>
                  <w:vAlign w:val="center"/>
                </w:tcPr>
                <w:p w14:paraId="7C086D1C" w14:textId="77777777" w:rsidR="00E11623" w:rsidRPr="00565B6A" w:rsidRDefault="00E11623">
                  <w:pPr>
                    <w:rPr>
                      <w:color w:val="000000"/>
                    </w:rPr>
                  </w:pPr>
                  <w:r w:rsidRPr="00565B6A">
                    <w:rPr>
                      <w:color w:val="000000"/>
                    </w:rPr>
                    <w:t xml:space="preserve">ASHRAE Pubs </w:t>
                  </w:r>
                </w:p>
              </w:tc>
              <w:tc>
                <w:tcPr>
                  <w:tcW w:w="3755" w:type="pct"/>
                  <w:gridSpan w:val="2"/>
                  <w:vAlign w:val="center"/>
                </w:tcPr>
                <w:p w14:paraId="6A4EC0F6" w14:textId="77777777" w:rsidR="003D31EC" w:rsidRPr="00DA1783" w:rsidRDefault="003D31EC" w:rsidP="00CF0103">
                  <w:pPr>
                    <w:rPr>
                      <w:rStyle w:val="Hyperlink"/>
                    </w:rPr>
                  </w:pPr>
                </w:p>
                <w:p w14:paraId="6A4D7C99" w14:textId="6BBCC63E" w:rsidR="00CF0103" w:rsidRPr="00DA1783" w:rsidRDefault="00B03A34" w:rsidP="00CF0103">
                  <w:pPr>
                    <w:rPr>
                      <w:rStyle w:val="Hyperlink"/>
                      <w:color w:val="000000"/>
                      <w:u w:val="none"/>
                    </w:rPr>
                  </w:pPr>
                  <w:hyperlink r:id="rId7" w:history="1">
                    <w:r w:rsidR="00DA1783" w:rsidRPr="00DA1783">
                      <w:rPr>
                        <w:rStyle w:val="Hyperlink"/>
                      </w:rPr>
                      <w:t>ASHRAE Standard 90.1</w:t>
                    </w:r>
                    <w:r w:rsidR="00DA1783" w:rsidRPr="00DA1783">
                      <w:rPr>
                        <w:rStyle w:val="Hyperlink"/>
                      </w:rPr>
                      <w:t>-20</w:t>
                    </w:r>
                    <w:r>
                      <w:rPr>
                        <w:rStyle w:val="Hyperlink"/>
                      </w:rPr>
                      <w:t>22</w:t>
                    </w:r>
                  </w:hyperlink>
                  <w:r w:rsidR="00DA1783" w:rsidRPr="00DA1783">
                    <w:rPr>
                      <w:color w:val="000000"/>
                    </w:rPr>
                    <w:t xml:space="preserve"> </w:t>
                  </w:r>
                  <w:r w:rsidR="00CF0103" w:rsidRPr="00DA1783">
                    <w:rPr>
                      <w:color w:val="000000"/>
                    </w:rPr>
                    <w:t xml:space="preserve">plus </w:t>
                  </w:r>
                  <w:hyperlink r:id="rId8" w:history="1">
                    <w:r w:rsidR="00DA1783" w:rsidRPr="00DA1783">
                      <w:rPr>
                        <w:rStyle w:val="Hyperlink"/>
                      </w:rPr>
                      <w:t>ASHRAE BOD approved addenda</w:t>
                    </w:r>
                  </w:hyperlink>
                </w:p>
                <w:p w14:paraId="39B1F49D" w14:textId="77777777" w:rsidR="003D31EC" w:rsidRPr="00DA1783" w:rsidRDefault="003D31EC" w:rsidP="00CF0103">
                  <w:pPr>
                    <w:rPr>
                      <w:rStyle w:val="Hyperlink"/>
                      <w:color w:val="000000"/>
                      <w:u w:val="none"/>
                    </w:rPr>
                  </w:pPr>
                </w:p>
                <w:p w14:paraId="7B020E9D" w14:textId="2A5EC836" w:rsidR="003D31EC" w:rsidRPr="00DA1783" w:rsidRDefault="00B03A34" w:rsidP="00CF0103">
                  <w:pPr>
                    <w:rPr>
                      <w:rStyle w:val="Hyperlink"/>
                      <w:color w:val="000000"/>
                      <w:u w:val="none"/>
                    </w:rPr>
                  </w:pPr>
                  <w:hyperlink r:id="rId9" w:history="1">
                    <w:r w:rsidR="003D31EC" w:rsidRPr="00DA1783">
                      <w:rPr>
                        <w:rStyle w:val="Hyperlink"/>
                      </w:rPr>
                      <w:t>ASHRAE Advance</w:t>
                    </w:r>
                    <w:r w:rsidR="003D31EC" w:rsidRPr="00DA1783">
                      <w:rPr>
                        <w:rStyle w:val="Hyperlink"/>
                      </w:rPr>
                      <w:t>d</w:t>
                    </w:r>
                    <w:r w:rsidR="003D31EC" w:rsidRPr="00DA1783">
                      <w:rPr>
                        <w:rStyle w:val="Hyperlink"/>
                      </w:rPr>
                      <w:t xml:space="preserve"> Energy Design Guides</w:t>
                    </w:r>
                    <w:r w:rsidR="00973853" w:rsidRPr="00DA1783">
                      <w:rPr>
                        <w:rStyle w:val="Hyperlink"/>
                      </w:rPr>
                      <w:t xml:space="preserve"> (AEDG)</w:t>
                    </w:r>
                  </w:hyperlink>
                  <w:r w:rsidR="00973853" w:rsidRPr="00DA1783">
                    <w:rPr>
                      <w:rStyle w:val="Hyperlink"/>
                      <w:color w:val="000000"/>
                      <w:u w:val="none"/>
                    </w:rPr>
                    <w:t xml:space="preserve"> </w:t>
                  </w:r>
                </w:p>
                <w:p w14:paraId="18F7863D" w14:textId="77777777" w:rsidR="00E11623" w:rsidRPr="00DA1783" w:rsidRDefault="00E11623" w:rsidP="00CF0103">
                  <w:pPr>
                    <w:rPr>
                      <w:rStyle w:val="Hyperlink"/>
                    </w:rPr>
                  </w:pPr>
                </w:p>
              </w:tc>
            </w:tr>
            <w:tr w:rsidR="00E11623" w:rsidRPr="00565B6A" w14:paraId="469DC7B1" w14:textId="77777777" w:rsidTr="00D95EB9">
              <w:trPr>
                <w:gridAfter w:val="1"/>
                <w:wAfter w:w="340" w:type="pct"/>
                <w:trHeight w:val="198"/>
                <w:tblCellSpacing w:w="0" w:type="dxa"/>
              </w:trPr>
              <w:tc>
                <w:tcPr>
                  <w:tcW w:w="4660" w:type="pct"/>
                  <w:gridSpan w:val="3"/>
                  <w:vAlign w:val="center"/>
                </w:tcPr>
                <w:p w14:paraId="02670E57" w14:textId="77777777" w:rsidR="00E11623" w:rsidRPr="00565B6A" w:rsidRDefault="00B03A34">
                  <w:pPr>
                    <w:rPr>
                      <w:color w:val="FF0000"/>
                    </w:rPr>
                  </w:pPr>
                  <w:r>
                    <w:rPr>
                      <w:color w:val="FF0000"/>
                    </w:rPr>
                    <w:lastRenderedPageBreak/>
                    <w:pict w14:anchorId="30CE61C7">
                      <v:rect id="_x0000_i1029" style="width:0;height:1.5pt" o:hralign="center" o:hrstd="t" o:hr="t" fillcolor="#aca899" stroked="f"/>
                    </w:pict>
                  </w:r>
                </w:p>
              </w:tc>
            </w:tr>
            <w:tr w:rsidR="00E11623" w:rsidRPr="00565B6A" w14:paraId="089C9C7E" w14:textId="77777777" w:rsidTr="00D95EB9">
              <w:trPr>
                <w:gridAfter w:val="1"/>
                <w:wAfter w:w="340" w:type="pct"/>
                <w:trHeight w:val="396"/>
                <w:tblCellSpacing w:w="0" w:type="dxa"/>
              </w:trPr>
              <w:tc>
                <w:tcPr>
                  <w:tcW w:w="905" w:type="pct"/>
                  <w:vAlign w:val="center"/>
                </w:tcPr>
                <w:p w14:paraId="2E02B1F6" w14:textId="77777777" w:rsidR="00E11623" w:rsidRPr="00565B6A" w:rsidRDefault="00E11623">
                  <w:pPr>
                    <w:rPr>
                      <w:color w:val="000000"/>
                    </w:rPr>
                  </w:pPr>
                  <w:r w:rsidRPr="00565B6A">
                    <w:rPr>
                      <w:color w:val="000000"/>
                    </w:rPr>
                    <w:t xml:space="preserve">Topic References </w:t>
                  </w:r>
                </w:p>
              </w:tc>
              <w:tc>
                <w:tcPr>
                  <w:tcW w:w="3755" w:type="pct"/>
                  <w:gridSpan w:val="2"/>
                  <w:vAlign w:val="center"/>
                </w:tcPr>
                <w:p w14:paraId="387200FC" w14:textId="77777777" w:rsidR="00E11623" w:rsidRPr="00565B6A" w:rsidRDefault="00973853" w:rsidP="00973853">
                  <w:pPr>
                    <w:rPr>
                      <w:color w:val="000000"/>
                    </w:rPr>
                  </w:pPr>
                  <w:r w:rsidRPr="00565B6A">
                    <w:rPr>
                      <w:color w:val="000000"/>
                      <w:sz w:val="23"/>
                      <w:szCs w:val="23"/>
                    </w:rPr>
                    <w:t>energy-efficiency, commercial buildings</w:t>
                  </w:r>
                  <w:r w:rsidR="00CF0103" w:rsidRPr="00565B6A">
                    <w:rPr>
                      <w:color w:val="000000"/>
                    </w:rPr>
                    <w:t xml:space="preserve">, </w:t>
                  </w:r>
                  <w:r w:rsidRPr="00565B6A">
                    <w:rPr>
                      <w:color w:val="000000"/>
                    </w:rPr>
                    <w:t>advanced energy design guides (AEDG), net-zero energy, 90.1</w:t>
                  </w:r>
                </w:p>
              </w:tc>
            </w:tr>
            <w:tr w:rsidR="00E11623" w:rsidRPr="00565B6A" w14:paraId="698E3FEA" w14:textId="77777777" w:rsidTr="00D95EB9">
              <w:trPr>
                <w:trHeight w:val="198"/>
                <w:tblCellSpacing w:w="0" w:type="dxa"/>
              </w:trPr>
              <w:tc>
                <w:tcPr>
                  <w:tcW w:w="5000" w:type="pct"/>
                  <w:gridSpan w:val="4"/>
                  <w:vAlign w:val="center"/>
                </w:tcPr>
                <w:p w14:paraId="7B2C322F" w14:textId="77777777" w:rsidR="00E11623" w:rsidRPr="00565B6A" w:rsidRDefault="00B03A34">
                  <w:pPr>
                    <w:rPr>
                      <w:color w:val="FF0000"/>
                    </w:rPr>
                  </w:pPr>
                  <w:r>
                    <w:rPr>
                      <w:color w:val="FF0000"/>
                    </w:rPr>
                    <w:pict w14:anchorId="7889D25A">
                      <v:rect id="_x0000_i1030" style="width:0;height:1.5pt" o:hralign="center" o:hrstd="t" o:hr="t" fillcolor="#aca899" stroked="f"/>
                    </w:pict>
                  </w:r>
                </w:p>
              </w:tc>
            </w:tr>
            <w:tr w:rsidR="00E11623" w:rsidRPr="00565B6A" w14:paraId="7C27D35E" w14:textId="77777777" w:rsidTr="00D95EB9">
              <w:trPr>
                <w:gridAfter w:val="2"/>
                <w:wAfter w:w="752" w:type="pct"/>
                <w:trHeight w:val="2121"/>
                <w:tblCellSpacing w:w="0" w:type="dxa"/>
              </w:trPr>
              <w:tc>
                <w:tcPr>
                  <w:tcW w:w="4248" w:type="pct"/>
                  <w:gridSpan w:val="2"/>
                  <w:vAlign w:val="center"/>
                </w:tcPr>
                <w:tbl>
                  <w:tblPr>
                    <w:tblW w:w="6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3600"/>
                    <w:gridCol w:w="2520"/>
                  </w:tblGrid>
                  <w:tr w:rsidR="00E11623" w:rsidRPr="00565B6A" w14:paraId="29C12544" w14:textId="77777777" w:rsidTr="00AB4ECE">
                    <w:trPr>
                      <w:trHeight w:val="316"/>
                      <w:jc w:val="center"/>
                    </w:trPr>
                    <w:tc>
                      <w:tcPr>
                        <w:tcW w:w="460" w:type="dxa"/>
                      </w:tcPr>
                      <w:p w14:paraId="1136E42E" w14:textId="77777777" w:rsidR="00E11623" w:rsidRPr="00565B6A" w:rsidRDefault="00E11623">
                        <w:pPr>
                          <w:rPr>
                            <w:color w:val="000000"/>
                          </w:rPr>
                        </w:pPr>
                      </w:p>
                    </w:tc>
                    <w:tc>
                      <w:tcPr>
                        <w:tcW w:w="3600" w:type="dxa"/>
                      </w:tcPr>
                      <w:p w14:paraId="01DC68F8" w14:textId="77777777" w:rsidR="00E11623" w:rsidRPr="00565B6A" w:rsidRDefault="00E11623">
                        <w:pPr>
                          <w:rPr>
                            <w:color w:val="000000"/>
                          </w:rPr>
                        </w:pPr>
                        <w:r w:rsidRPr="00565B6A">
                          <w:rPr>
                            <w:color w:val="000000"/>
                          </w:rPr>
                          <w:t>Cognizant ASHRAE Committees</w:t>
                        </w:r>
                      </w:p>
                    </w:tc>
                    <w:tc>
                      <w:tcPr>
                        <w:tcW w:w="2520" w:type="dxa"/>
                      </w:tcPr>
                      <w:p w14:paraId="7FB3A4AB" w14:textId="77777777" w:rsidR="00E11623" w:rsidRPr="00565B6A" w:rsidRDefault="00E11623">
                        <w:pPr>
                          <w:rPr>
                            <w:color w:val="000000"/>
                          </w:rPr>
                        </w:pPr>
                        <w:r w:rsidRPr="00565B6A">
                          <w:rPr>
                            <w:color w:val="000000"/>
                          </w:rPr>
                          <w:t>Refer to Organization</w:t>
                        </w:r>
                      </w:p>
                    </w:tc>
                  </w:tr>
                  <w:tr w:rsidR="00E11623" w:rsidRPr="00565B6A" w14:paraId="3284D0BF" w14:textId="77777777" w:rsidTr="00AB4ECE">
                    <w:trPr>
                      <w:trHeight w:val="293"/>
                      <w:jc w:val="center"/>
                    </w:trPr>
                    <w:tc>
                      <w:tcPr>
                        <w:tcW w:w="460" w:type="dxa"/>
                      </w:tcPr>
                      <w:p w14:paraId="71BF76E5" w14:textId="77777777" w:rsidR="00E11623" w:rsidRPr="00565B6A" w:rsidRDefault="00E11623">
                        <w:pPr>
                          <w:rPr>
                            <w:color w:val="000000"/>
                          </w:rPr>
                        </w:pPr>
                        <w:r w:rsidRPr="00565B6A">
                          <w:rPr>
                            <w:color w:val="000000"/>
                          </w:rPr>
                          <w:t>1</w:t>
                        </w:r>
                      </w:p>
                    </w:tc>
                    <w:tc>
                      <w:tcPr>
                        <w:tcW w:w="3600" w:type="dxa"/>
                      </w:tcPr>
                      <w:p w14:paraId="59411D2F" w14:textId="285FC703" w:rsidR="00E11623" w:rsidRPr="00565B6A" w:rsidRDefault="00B03A34" w:rsidP="003D31EC">
                        <w:pPr>
                          <w:rPr>
                            <w:color w:val="000000"/>
                          </w:rPr>
                        </w:pPr>
                        <w:hyperlink r:id="rId10" w:history="1">
                          <w:r w:rsidR="00DA1783" w:rsidRPr="000E7005">
                            <w:rPr>
                              <w:rStyle w:val="Hyperlink"/>
                            </w:rPr>
                            <w:t>TC</w:t>
                          </w:r>
                          <w:r w:rsidR="00DA1783" w:rsidRPr="000E7005">
                            <w:rPr>
                              <w:rStyle w:val="Hyperlink"/>
                            </w:rPr>
                            <w:t xml:space="preserve"> </w:t>
                          </w:r>
                          <w:r w:rsidR="00DA1783" w:rsidRPr="000E7005">
                            <w:rPr>
                              <w:rStyle w:val="Hyperlink"/>
                            </w:rPr>
                            <w:t>7.6</w:t>
                          </w:r>
                        </w:hyperlink>
                      </w:p>
                    </w:tc>
                    <w:tc>
                      <w:tcPr>
                        <w:tcW w:w="2520" w:type="dxa"/>
                      </w:tcPr>
                      <w:p w14:paraId="320986CA" w14:textId="77777777" w:rsidR="00E11623" w:rsidRPr="00565B6A" w:rsidRDefault="00E11623">
                        <w:pPr>
                          <w:rPr>
                            <w:color w:val="000000"/>
                          </w:rPr>
                        </w:pPr>
                      </w:p>
                    </w:tc>
                  </w:tr>
                  <w:tr w:rsidR="00E11623" w:rsidRPr="00565B6A" w14:paraId="20795394" w14:textId="77777777" w:rsidTr="00AB4ECE">
                    <w:trPr>
                      <w:trHeight w:val="293"/>
                      <w:jc w:val="center"/>
                    </w:trPr>
                    <w:tc>
                      <w:tcPr>
                        <w:tcW w:w="460" w:type="dxa"/>
                      </w:tcPr>
                      <w:p w14:paraId="2C48EF4D" w14:textId="77777777" w:rsidR="00E11623" w:rsidRPr="00565B6A" w:rsidRDefault="00E11623">
                        <w:pPr>
                          <w:rPr>
                            <w:color w:val="000000"/>
                          </w:rPr>
                        </w:pPr>
                        <w:r w:rsidRPr="00565B6A">
                          <w:rPr>
                            <w:color w:val="000000"/>
                          </w:rPr>
                          <w:t>2</w:t>
                        </w:r>
                      </w:p>
                    </w:tc>
                    <w:tc>
                      <w:tcPr>
                        <w:tcW w:w="3600" w:type="dxa"/>
                      </w:tcPr>
                      <w:p w14:paraId="0511347E" w14:textId="77777777" w:rsidR="00E11623" w:rsidRPr="00565B6A" w:rsidRDefault="003D31EC" w:rsidP="003D31EC">
                        <w:pPr>
                          <w:rPr>
                            <w:color w:val="000000"/>
                          </w:rPr>
                        </w:pPr>
                        <w:r w:rsidRPr="00565B6A">
                          <w:rPr>
                            <w:color w:val="000000"/>
                          </w:rPr>
                          <w:t>SSPC 90.1</w:t>
                        </w:r>
                      </w:p>
                    </w:tc>
                    <w:tc>
                      <w:tcPr>
                        <w:tcW w:w="2520" w:type="dxa"/>
                      </w:tcPr>
                      <w:p w14:paraId="00177F3F" w14:textId="77777777" w:rsidR="00E11623" w:rsidRPr="00565B6A" w:rsidRDefault="00E11623">
                        <w:pPr>
                          <w:rPr>
                            <w:color w:val="000000"/>
                          </w:rPr>
                        </w:pPr>
                      </w:p>
                    </w:tc>
                  </w:tr>
                  <w:tr w:rsidR="00E11623" w:rsidRPr="00565B6A" w14:paraId="5FA665DE" w14:textId="77777777" w:rsidTr="00AB4ECE">
                    <w:trPr>
                      <w:trHeight w:val="293"/>
                      <w:jc w:val="center"/>
                    </w:trPr>
                    <w:tc>
                      <w:tcPr>
                        <w:tcW w:w="460" w:type="dxa"/>
                      </w:tcPr>
                      <w:p w14:paraId="69881760" w14:textId="77777777" w:rsidR="00E11623" w:rsidRPr="00565B6A" w:rsidRDefault="00E11623">
                        <w:pPr>
                          <w:rPr>
                            <w:color w:val="000000"/>
                          </w:rPr>
                        </w:pPr>
                      </w:p>
                    </w:tc>
                    <w:tc>
                      <w:tcPr>
                        <w:tcW w:w="3600" w:type="dxa"/>
                      </w:tcPr>
                      <w:p w14:paraId="24F5B7B6" w14:textId="77777777" w:rsidR="00E11623" w:rsidRPr="00565B6A" w:rsidRDefault="00E11623">
                        <w:pPr>
                          <w:rPr>
                            <w:color w:val="000000"/>
                          </w:rPr>
                        </w:pPr>
                      </w:p>
                    </w:tc>
                    <w:tc>
                      <w:tcPr>
                        <w:tcW w:w="2520" w:type="dxa"/>
                      </w:tcPr>
                      <w:p w14:paraId="019581EF" w14:textId="77777777" w:rsidR="00E11623" w:rsidRPr="00565B6A" w:rsidRDefault="00E11623">
                        <w:pPr>
                          <w:rPr>
                            <w:color w:val="000000"/>
                          </w:rPr>
                        </w:pPr>
                      </w:p>
                    </w:tc>
                  </w:tr>
                  <w:tr w:rsidR="00E11623" w:rsidRPr="00565B6A" w14:paraId="2CD85458" w14:textId="77777777" w:rsidTr="00AB4ECE">
                    <w:trPr>
                      <w:trHeight w:val="316"/>
                      <w:jc w:val="center"/>
                    </w:trPr>
                    <w:tc>
                      <w:tcPr>
                        <w:tcW w:w="460" w:type="dxa"/>
                      </w:tcPr>
                      <w:p w14:paraId="0D9EF0C3" w14:textId="77777777" w:rsidR="00E11623" w:rsidRPr="00565B6A" w:rsidRDefault="00E11623">
                        <w:pPr>
                          <w:rPr>
                            <w:color w:val="FF0000"/>
                          </w:rPr>
                        </w:pPr>
                      </w:p>
                    </w:tc>
                    <w:tc>
                      <w:tcPr>
                        <w:tcW w:w="3600" w:type="dxa"/>
                      </w:tcPr>
                      <w:p w14:paraId="25871221" w14:textId="77777777" w:rsidR="00E11623" w:rsidRPr="00565B6A" w:rsidRDefault="00E11623">
                        <w:pPr>
                          <w:rPr>
                            <w:color w:val="FF0000"/>
                          </w:rPr>
                        </w:pPr>
                      </w:p>
                    </w:tc>
                    <w:tc>
                      <w:tcPr>
                        <w:tcW w:w="2520" w:type="dxa"/>
                      </w:tcPr>
                      <w:p w14:paraId="49CF32B0" w14:textId="77777777" w:rsidR="00E11623" w:rsidRPr="00565B6A" w:rsidRDefault="00E11623">
                        <w:pPr>
                          <w:rPr>
                            <w:color w:val="FF0000"/>
                          </w:rPr>
                        </w:pPr>
                      </w:p>
                    </w:tc>
                  </w:tr>
                  <w:tr w:rsidR="00E11623" w:rsidRPr="00565B6A" w14:paraId="7C159E26" w14:textId="77777777" w:rsidTr="00AB4ECE">
                    <w:trPr>
                      <w:trHeight w:val="316"/>
                      <w:jc w:val="center"/>
                    </w:trPr>
                    <w:tc>
                      <w:tcPr>
                        <w:tcW w:w="460" w:type="dxa"/>
                      </w:tcPr>
                      <w:p w14:paraId="0228759C" w14:textId="77777777" w:rsidR="00E11623" w:rsidRPr="00565B6A" w:rsidRDefault="00E11623">
                        <w:pPr>
                          <w:rPr>
                            <w:color w:val="FF0000"/>
                          </w:rPr>
                        </w:pPr>
                      </w:p>
                    </w:tc>
                    <w:tc>
                      <w:tcPr>
                        <w:tcW w:w="3600" w:type="dxa"/>
                      </w:tcPr>
                      <w:p w14:paraId="653499A4" w14:textId="77777777" w:rsidR="00E11623" w:rsidRPr="00565B6A" w:rsidRDefault="00E11623">
                        <w:pPr>
                          <w:rPr>
                            <w:color w:val="FF0000"/>
                          </w:rPr>
                        </w:pPr>
                      </w:p>
                    </w:tc>
                    <w:tc>
                      <w:tcPr>
                        <w:tcW w:w="2520" w:type="dxa"/>
                      </w:tcPr>
                      <w:p w14:paraId="2DF71CB9" w14:textId="77777777" w:rsidR="00E11623" w:rsidRPr="00565B6A" w:rsidRDefault="00E11623">
                        <w:pPr>
                          <w:rPr>
                            <w:color w:val="FF0000"/>
                          </w:rPr>
                        </w:pPr>
                      </w:p>
                    </w:tc>
                  </w:tr>
                </w:tbl>
                <w:p w14:paraId="646119CE" w14:textId="77777777" w:rsidR="00E11623" w:rsidRPr="00565B6A" w:rsidRDefault="00E11623">
                  <w:pPr>
                    <w:rPr>
                      <w:color w:val="FF0000"/>
                    </w:rPr>
                  </w:pPr>
                </w:p>
              </w:tc>
            </w:tr>
            <w:tr w:rsidR="00E11623" w:rsidRPr="00565B6A" w14:paraId="45E8328C" w14:textId="77777777" w:rsidTr="00D95EB9">
              <w:trPr>
                <w:trHeight w:val="212"/>
                <w:tblCellSpacing w:w="0" w:type="dxa"/>
              </w:trPr>
              <w:tc>
                <w:tcPr>
                  <w:tcW w:w="5000" w:type="pct"/>
                  <w:gridSpan w:val="4"/>
                  <w:vAlign w:val="center"/>
                </w:tcPr>
                <w:p w14:paraId="1EE4ADB1" w14:textId="77777777" w:rsidR="00E11623" w:rsidRPr="00565B6A" w:rsidRDefault="00E11623">
                  <w:pPr>
                    <w:rPr>
                      <w:color w:val="FF0000"/>
                    </w:rPr>
                  </w:pPr>
                </w:p>
              </w:tc>
            </w:tr>
          </w:tbl>
          <w:p w14:paraId="77E7F721" w14:textId="77777777" w:rsidR="00E11623" w:rsidRPr="00565B6A" w:rsidRDefault="00E11623">
            <w:pPr>
              <w:rPr>
                <w:color w:val="FF0000"/>
              </w:rPr>
            </w:pPr>
          </w:p>
        </w:tc>
        <w:tc>
          <w:tcPr>
            <w:tcW w:w="0" w:type="auto"/>
            <w:vAlign w:val="center"/>
          </w:tcPr>
          <w:p w14:paraId="190097C4" w14:textId="77777777" w:rsidR="00E11623" w:rsidRPr="00565B6A" w:rsidRDefault="00E11623">
            <w:pPr>
              <w:rPr>
                <w:color w:val="FF0000"/>
                <w:sz w:val="20"/>
                <w:szCs w:val="20"/>
              </w:rPr>
            </w:pPr>
          </w:p>
        </w:tc>
      </w:tr>
    </w:tbl>
    <w:p w14:paraId="7121487C" w14:textId="77777777" w:rsidR="0073616E" w:rsidRPr="00565B6A" w:rsidRDefault="0073616E">
      <w:pPr>
        <w:rPr>
          <w:color w:val="FF0000"/>
        </w:rPr>
      </w:pPr>
    </w:p>
    <w:sectPr w:rsidR="0073616E" w:rsidRPr="00565B6A" w:rsidSect="00A35BBF">
      <w:pgSz w:w="12240" w:h="15840"/>
      <w:pgMar w:top="90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F0103"/>
    <w:rsid w:val="000142F9"/>
    <w:rsid w:val="00026B8D"/>
    <w:rsid w:val="000405EC"/>
    <w:rsid w:val="00043D6E"/>
    <w:rsid w:val="0005555B"/>
    <w:rsid w:val="00056322"/>
    <w:rsid w:val="00066185"/>
    <w:rsid w:val="000A4C5E"/>
    <w:rsid w:val="000B1E64"/>
    <w:rsid w:val="000C17CC"/>
    <w:rsid w:val="000C3D1F"/>
    <w:rsid w:val="000C7C12"/>
    <w:rsid w:val="000D61FB"/>
    <w:rsid w:val="000E41B2"/>
    <w:rsid w:val="000E46C8"/>
    <w:rsid w:val="000E4A46"/>
    <w:rsid w:val="00105431"/>
    <w:rsid w:val="00111AD9"/>
    <w:rsid w:val="00133B32"/>
    <w:rsid w:val="00136D1C"/>
    <w:rsid w:val="001538C4"/>
    <w:rsid w:val="00160B58"/>
    <w:rsid w:val="00167169"/>
    <w:rsid w:val="00176F30"/>
    <w:rsid w:val="00177D55"/>
    <w:rsid w:val="0018060A"/>
    <w:rsid w:val="001935DF"/>
    <w:rsid w:val="0019749A"/>
    <w:rsid w:val="001B6D74"/>
    <w:rsid w:val="001B7130"/>
    <w:rsid w:val="001F0C26"/>
    <w:rsid w:val="002051F5"/>
    <w:rsid w:val="0020535B"/>
    <w:rsid w:val="002173A6"/>
    <w:rsid w:val="00252728"/>
    <w:rsid w:val="002579BF"/>
    <w:rsid w:val="00257E60"/>
    <w:rsid w:val="00271495"/>
    <w:rsid w:val="0027767A"/>
    <w:rsid w:val="002779BB"/>
    <w:rsid w:val="00281782"/>
    <w:rsid w:val="002825E3"/>
    <w:rsid w:val="00295C38"/>
    <w:rsid w:val="002B0D3F"/>
    <w:rsid w:val="002B6692"/>
    <w:rsid w:val="002C6A17"/>
    <w:rsid w:val="002E45EC"/>
    <w:rsid w:val="002F4E1B"/>
    <w:rsid w:val="002F6C9C"/>
    <w:rsid w:val="003117BC"/>
    <w:rsid w:val="003121B2"/>
    <w:rsid w:val="003478DA"/>
    <w:rsid w:val="00354FC9"/>
    <w:rsid w:val="00356BED"/>
    <w:rsid w:val="00357E79"/>
    <w:rsid w:val="003857A7"/>
    <w:rsid w:val="003A0081"/>
    <w:rsid w:val="003A1FF8"/>
    <w:rsid w:val="003A2FCC"/>
    <w:rsid w:val="003A7837"/>
    <w:rsid w:val="003B7412"/>
    <w:rsid w:val="003C4E8B"/>
    <w:rsid w:val="003D31EC"/>
    <w:rsid w:val="003D4ED5"/>
    <w:rsid w:val="0040222F"/>
    <w:rsid w:val="004138CF"/>
    <w:rsid w:val="004265F2"/>
    <w:rsid w:val="004275F8"/>
    <w:rsid w:val="00437DC1"/>
    <w:rsid w:val="004424C2"/>
    <w:rsid w:val="004466ED"/>
    <w:rsid w:val="0044728F"/>
    <w:rsid w:val="004543E1"/>
    <w:rsid w:val="00454431"/>
    <w:rsid w:val="00460FE3"/>
    <w:rsid w:val="004816F2"/>
    <w:rsid w:val="004A37B0"/>
    <w:rsid w:val="004A4C42"/>
    <w:rsid w:val="004F534E"/>
    <w:rsid w:val="00526CA2"/>
    <w:rsid w:val="005373C0"/>
    <w:rsid w:val="0054152D"/>
    <w:rsid w:val="00554020"/>
    <w:rsid w:val="00555DE5"/>
    <w:rsid w:val="005614FF"/>
    <w:rsid w:val="00565B6A"/>
    <w:rsid w:val="00571372"/>
    <w:rsid w:val="00573B26"/>
    <w:rsid w:val="005750B3"/>
    <w:rsid w:val="00575DE3"/>
    <w:rsid w:val="005823A8"/>
    <w:rsid w:val="005C2DAE"/>
    <w:rsid w:val="005C3B4D"/>
    <w:rsid w:val="005D5A07"/>
    <w:rsid w:val="005E4570"/>
    <w:rsid w:val="005F09FF"/>
    <w:rsid w:val="005F5381"/>
    <w:rsid w:val="005F6297"/>
    <w:rsid w:val="00634806"/>
    <w:rsid w:val="00650ACA"/>
    <w:rsid w:val="00691A0B"/>
    <w:rsid w:val="006A394D"/>
    <w:rsid w:val="006B4FBD"/>
    <w:rsid w:val="006B6767"/>
    <w:rsid w:val="006C4140"/>
    <w:rsid w:val="006E623D"/>
    <w:rsid w:val="006F2C88"/>
    <w:rsid w:val="006F48B2"/>
    <w:rsid w:val="007017C3"/>
    <w:rsid w:val="00706381"/>
    <w:rsid w:val="00714365"/>
    <w:rsid w:val="00714871"/>
    <w:rsid w:val="00724256"/>
    <w:rsid w:val="0073616E"/>
    <w:rsid w:val="007467D8"/>
    <w:rsid w:val="00757A1E"/>
    <w:rsid w:val="007630B1"/>
    <w:rsid w:val="00763769"/>
    <w:rsid w:val="007712CD"/>
    <w:rsid w:val="007776A6"/>
    <w:rsid w:val="0078711F"/>
    <w:rsid w:val="007B0644"/>
    <w:rsid w:val="007B13FA"/>
    <w:rsid w:val="007B4575"/>
    <w:rsid w:val="007D4461"/>
    <w:rsid w:val="007D767C"/>
    <w:rsid w:val="00805C24"/>
    <w:rsid w:val="00813A3D"/>
    <w:rsid w:val="00830AF5"/>
    <w:rsid w:val="008462B8"/>
    <w:rsid w:val="00850063"/>
    <w:rsid w:val="0087000C"/>
    <w:rsid w:val="008701B3"/>
    <w:rsid w:val="0087204B"/>
    <w:rsid w:val="00881807"/>
    <w:rsid w:val="008A1C67"/>
    <w:rsid w:val="008A5008"/>
    <w:rsid w:val="008A784F"/>
    <w:rsid w:val="008B3AE9"/>
    <w:rsid w:val="008C0BEF"/>
    <w:rsid w:val="008C5134"/>
    <w:rsid w:val="008D2B09"/>
    <w:rsid w:val="008D5447"/>
    <w:rsid w:val="008E45C2"/>
    <w:rsid w:val="008E7528"/>
    <w:rsid w:val="00903958"/>
    <w:rsid w:val="00905825"/>
    <w:rsid w:val="00931EEA"/>
    <w:rsid w:val="00946D49"/>
    <w:rsid w:val="009515BA"/>
    <w:rsid w:val="00954341"/>
    <w:rsid w:val="00961F04"/>
    <w:rsid w:val="00973853"/>
    <w:rsid w:val="009A0BC4"/>
    <w:rsid w:val="009B6C9C"/>
    <w:rsid w:val="009C1218"/>
    <w:rsid w:val="009D09C4"/>
    <w:rsid w:val="009F0A2B"/>
    <w:rsid w:val="00A0432D"/>
    <w:rsid w:val="00A07B27"/>
    <w:rsid w:val="00A25271"/>
    <w:rsid w:val="00A35BBF"/>
    <w:rsid w:val="00A41EB6"/>
    <w:rsid w:val="00A428DA"/>
    <w:rsid w:val="00A42B5B"/>
    <w:rsid w:val="00A4684A"/>
    <w:rsid w:val="00A479A0"/>
    <w:rsid w:val="00A731E6"/>
    <w:rsid w:val="00AB4ECE"/>
    <w:rsid w:val="00AF77C5"/>
    <w:rsid w:val="00B02942"/>
    <w:rsid w:val="00B03616"/>
    <w:rsid w:val="00B03A34"/>
    <w:rsid w:val="00B0665D"/>
    <w:rsid w:val="00B23A11"/>
    <w:rsid w:val="00B439CB"/>
    <w:rsid w:val="00B46DED"/>
    <w:rsid w:val="00B518D4"/>
    <w:rsid w:val="00B51FB5"/>
    <w:rsid w:val="00B662F7"/>
    <w:rsid w:val="00B76549"/>
    <w:rsid w:val="00B901B4"/>
    <w:rsid w:val="00BA430A"/>
    <w:rsid w:val="00BA6202"/>
    <w:rsid w:val="00BB7846"/>
    <w:rsid w:val="00BC784B"/>
    <w:rsid w:val="00BD3079"/>
    <w:rsid w:val="00BD3FC3"/>
    <w:rsid w:val="00BE505D"/>
    <w:rsid w:val="00BF0EFA"/>
    <w:rsid w:val="00BF31F7"/>
    <w:rsid w:val="00C164C6"/>
    <w:rsid w:val="00C24D36"/>
    <w:rsid w:val="00C41BCD"/>
    <w:rsid w:val="00C659F8"/>
    <w:rsid w:val="00C7107C"/>
    <w:rsid w:val="00CB0012"/>
    <w:rsid w:val="00CD0F74"/>
    <w:rsid w:val="00CE0D06"/>
    <w:rsid w:val="00CF0103"/>
    <w:rsid w:val="00D1154F"/>
    <w:rsid w:val="00D30DFC"/>
    <w:rsid w:val="00D34EBB"/>
    <w:rsid w:val="00D35BE4"/>
    <w:rsid w:val="00D4058C"/>
    <w:rsid w:val="00D52DA1"/>
    <w:rsid w:val="00D7714B"/>
    <w:rsid w:val="00D829FF"/>
    <w:rsid w:val="00D95EB9"/>
    <w:rsid w:val="00DA1783"/>
    <w:rsid w:val="00DA2376"/>
    <w:rsid w:val="00DC7123"/>
    <w:rsid w:val="00DD073D"/>
    <w:rsid w:val="00DE21F3"/>
    <w:rsid w:val="00DF0848"/>
    <w:rsid w:val="00DF2040"/>
    <w:rsid w:val="00E02533"/>
    <w:rsid w:val="00E11623"/>
    <w:rsid w:val="00E16CD2"/>
    <w:rsid w:val="00E27DD7"/>
    <w:rsid w:val="00E33E07"/>
    <w:rsid w:val="00E36E9E"/>
    <w:rsid w:val="00E56E72"/>
    <w:rsid w:val="00E57ACB"/>
    <w:rsid w:val="00E62952"/>
    <w:rsid w:val="00E83E50"/>
    <w:rsid w:val="00E86038"/>
    <w:rsid w:val="00EA3DD3"/>
    <w:rsid w:val="00EB0E7A"/>
    <w:rsid w:val="00EB72AB"/>
    <w:rsid w:val="00EB7677"/>
    <w:rsid w:val="00ED5B89"/>
    <w:rsid w:val="00EF33A2"/>
    <w:rsid w:val="00F00D4E"/>
    <w:rsid w:val="00F0454E"/>
    <w:rsid w:val="00F070C1"/>
    <w:rsid w:val="00F16773"/>
    <w:rsid w:val="00F200D0"/>
    <w:rsid w:val="00F20FB8"/>
    <w:rsid w:val="00F455AD"/>
    <w:rsid w:val="00F544EB"/>
    <w:rsid w:val="00F62AEB"/>
    <w:rsid w:val="00F64BF0"/>
    <w:rsid w:val="00F76334"/>
    <w:rsid w:val="00F87B2D"/>
    <w:rsid w:val="00FA5F51"/>
    <w:rsid w:val="00FB506A"/>
    <w:rsid w:val="00FB639A"/>
    <w:rsid w:val="00FC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71FAF3F4"/>
  <w15:docId w15:val="{28986C01-343F-42F8-8508-112E8FCB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6322"/>
    <w:rPr>
      <w:sz w:val="24"/>
      <w:szCs w:val="24"/>
    </w:rPr>
  </w:style>
  <w:style w:type="paragraph" w:styleId="Heading3">
    <w:name w:val="heading 3"/>
    <w:basedOn w:val="Normal"/>
    <w:qFormat/>
    <w:rsid w:val="00E1162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4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579BF"/>
    <w:rPr>
      <w:color w:val="0000FF"/>
      <w:u w:val="single"/>
    </w:rPr>
  </w:style>
  <w:style w:type="character" w:styleId="FollowedHyperlink">
    <w:name w:val="FollowedHyperlink"/>
    <w:basedOn w:val="DefaultParagraphFont"/>
    <w:rsid w:val="00295C38"/>
    <w:rPr>
      <w:color w:val="800080"/>
      <w:u w:val="single"/>
    </w:rPr>
  </w:style>
  <w:style w:type="paragraph" w:customStyle="1" w:styleId="Default">
    <w:name w:val="Default"/>
    <w:rsid w:val="00973853"/>
    <w:pPr>
      <w:autoSpaceDE w:val="0"/>
      <w:autoSpaceDN w:val="0"/>
      <w:adjustRightInd w:val="0"/>
    </w:pPr>
    <w:rPr>
      <w:color w:val="000000"/>
      <w:sz w:val="24"/>
      <w:szCs w:val="24"/>
    </w:rPr>
  </w:style>
  <w:style w:type="paragraph" w:styleId="BalloonText">
    <w:name w:val="Balloon Text"/>
    <w:basedOn w:val="Normal"/>
    <w:link w:val="BalloonTextChar"/>
    <w:semiHidden/>
    <w:unhideWhenUsed/>
    <w:rsid w:val="00691A0B"/>
    <w:rPr>
      <w:rFonts w:ascii="Segoe UI" w:hAnsi="Segoe UI" w:cs="Segoe UI"/>
      <w:sz w:val="18"/>
      <w:szCs w:val="18"/>
    </w:rPr>
  </w:style>
  <w:style w:type="character" w:customStyle="1" w:styleId="BalloonTextChar">
    <w:name w:val="Balloon Text Char"/>
    <w:basedOn w:val="DefaultParagraphFont"/>
    <w:link w:val="BalloonText"/>
    <w:semiHidden/>
    <w:rsid w:val="00691A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7431">
      <w:bodyDiv w:val="1"/>
      <w:marLeft w:val="0"/>
      <w:marRight w:val="0"/>
      <w:marTop w:val="0"/>
      <w:marBottom w:val="0"/>
      <w:divBdr>
        <w:top w:val="none" w:sz="0" w:space="0" w:color="auto"/>
        <w:left w:val="none" w:sz="0" w:space="0" w:color="auto"/>
        <w:bottom w:val="none" w:sz="0" w:space="0" w:color="auto"/>
        <w:right w:val="none" w:sz="0" w:space="0" w:color="auto"/>
      </w:divBdr>
    </w:div>
    <w:div w:id="391462736">
      <w:bodyDiv w:val="1"/>
      <w:marLeft w:val="0"/>
      <w:marRight w:val="0"/>
      <w:marTop w:val="0"/>
      <w:marBottom w:val="0"/>
      <w:divBdr>
        <w:top w:val="none" w:sz="0" w:space="0" w:color="auto"/>
        <w:left w:val="none" w:sz="0" w:space="0" w:color="auto"/>
        <w:bottom w:val="none" w:sz="0" w:space="0" w:color="auto"/>
        <w:right w:val="none" w:sz="0" w:space="0" w:color="auto"/>
      </w:divBdr>
    </w:div>
    <w:div w:id="1085304968">
      <w:bodyDiv w:val="1"/>
      <w:marLeft w:val="0"/>
      <w:marRight w:val="0"/>
      <w:marTop w:val="0"/>
      <w:marBottom w:val="0"/>
      <w:divBdr>
        <w:top w:val="none" w:sz="0" w:space="0" w:color="auto"/>
        <w:left w:val="none" w:sz="0" w:space="0" w:color="auto"/>
        <w:bottom w:val="none" w:sz="0" w:space="0" w:color="auto"/>
        <w:right w:val="none" w:sz="0" w:space="0" w:color="auto"/>
      </w:divBdr>
    </w:div>
    <w:div w:id="1405223443">
      <w:bodyDiv w:val="1"/>
      <w:marLeft w:val="0"/>
      <w:marRight w:val="0"/>
      <w:marTop w:val="0"/>
      <w:marBottom w:val="0"/>
      <w:divBdr>
        <w:top w:val="none" w:sz="0" w:space="0" w:color="auto"/>
        <w:left w:val="none" w:sz="0" w:space="0" w:color="auto"/>
        <w:bottom w:val="none" w:sz="0" w:space="0" w:color="auto"/>
        <w:right w:val="none" w:sz="0" w:space="0" w:color="auto"/>
      </w:divBdr>
    </w:div>
    <w:div w:id="21269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hrae.org/standards-research--technology/standards-addenda" TargetMode="External"/><Relationship Id="rId3" Type="http://schemas.openxmlformats.org/officeDocument/2006/relationships/webSettings" Target="webSettings.xml"/><Relationship Id="rId7" Type="http://schemas.openxmlformats.org/officeDocument/2006/relationships/hyperlink" Target="https://www.techstreet.com/ashrae/standards/ashrae-90-1-2022-i-p?product_id=252208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hrae.org" TargetMode="External"/><Relationship Id="rId11" Type="http://schemas.openxmlformats.org/officeDocument/2006/relationships/fontTable" Target="fontTable.xml"/><Relationship Id="rId5" Type="http://schemas.openxmlformats.org/officeDocument/2006/relationships/hyperlink" Target="https://www.ashrae.org/technical-resources/aedgs" TargetMode="External"/><Relationship Id="rId10" Type="http://schemas.openxmlformats.org/officeDocument/2006/relationships/hyperlink" Target="http://tc0706.ashraetcs.org/" TargetMode="External"/><Relationship Id="rId4" Type="http://schemas.openxmlformats.org/officeDocument/2006/relationships/hyperlink" Target="https://www.ashrae.org/technical-resources/aedgs" TargetMode="External"/><Relationship Id="rId9" Type="http://schemas.openxmlformats.org/officeDocument/2006/relationships/hyperlink" Target="https://www.ashrae.org/technical-resources/aed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ID Number:</vt:lpstr>
    </vt:vector>
  </TitlesOfParts>
  <Company>ashrae</Company>
  <LinksUpToDate>false</LinksUpToDate>
  <CharactersWithSpaces>2971</CharactersWithSpaces>
  <SharedDoc>false</SharedDoc>
  <HLinks>
    <vt:vector size="42" baseType="variant">
      <vt:variant>
        <vt:i4>3276859</vt:i4>
      </vt:variant>
      <vt:variant>
        <vt:i4>18</vt:i4>
      </vt:variant>
      <vt:variant>
        <vt:i4>0</vt:i4>
      </vt:variant>
      <vt:variant>
        <vt:i4>5</vt:i4>
      </vt:variant>
      <vt:variant>
        <vt:lpwstr>http://tc76.ashraetcs.org/</vt:lpwstr>
      </vt:variant>
      <vt:variant>
        <vt:lpwstr/>
      </vt:variant>
      <vt:variant>
        <vt:i4>2752633</vt:i4>
      </vt:variant>
      <vt:variant>
        <vt:i4>15</vt:i4>
      </vt:variant>
      <vt:variant>
        <vt:i4>0</vt:i4>
      </vt:variant>
      <vt:variant>
        <vt:i4>5</vt:i4>
      </vt:variant>
      <vt:variant>
        <vt:lpwstr>http://www.ashrae.org/standards-research--technology/advanced-energy-design-guides</vt:lpwstr>
      </vt:variant>
      <vt:variant>
        <vt:lpwstr/>
      </vt:variant>
      <vt:variant>
        <vt:i4>3932271</vt:i4>
      </vt:variant>
      <vt:variant>
        <vt:i4>12</vt:i4>
      </vt:variant>
      <vt:variant>
        <vt:i4>0</vt:i4>
      </vt:variant>
      <vt:variant>
        <vt:i4>5</vt:i4>
      </vt:variant>
      <vt:variant>
        <vt:lpwstr>http://www.ashrae.org/standards-research--technology/standards-addenda</vt:lpwstr>
      </vt:variant>
      <vt:variant>
        <vt:lpwstr/>
      </vt:variant>
      <vt:variant>
        <vt:i4>3276845</vt:i4>
      </vt:variant>
      <vt:variant>
        <vt:i4>9</vt:i4>
      </vt:variant>
      <vt:variant>
        <vt:i4>0</vt:i4>
      </vt:variant>
      <vt:variant>
        <vt:i4>5</vt:i4>
      </vt:variant>
      <vt:variant>
        <vt:lpwstr>http://www.techstreet.com/standards/ashrae/90_1_2010_i_p_?product_id=1739526</vt:lpwstr>
      </vt:variant>
      <vt:variant>
        <vt:lpwstr/>
      </vt:variant>
      <vt:variant>
        <vt:i4>3145788</vt:i4>
      </vt:variant>
      <vt:variant>
        <vt:i4>6</vt:i4>
      </vt:variant>
      <vt:variant>
        <vt:i4>0</vt:i4>
      </vt:variant>
      <vt:variant>
        <vt:i4>5</vt:i4>
      </vt:variant>
      <vt:variant>
        <vt:lpwstr>http://www.ashrae.org/</vt:lpwstr>
      </vt:variant>
      <vt:variant>
        <vt:lpwstr/>
      </vt:variant>
      <vt:variant>
        <vt:i4>1048656</vt:i4>
      </vt:variant>
      <vt:variant>
        <vt:i4>3</vt:i4>
      </vt:variant>
      <vt:variant>
        <vt:i4>0</vt:i4>
      </vt:variant>
      <vt:variant>
        <vt:i4>5</vt:i4>
      </vt:variant>
      <vt:variant>
        <vt:lpwstr>http://www.ashrae.org/standards-research--technology/aedg-technical-support-documents</vt:lpwstr>
      </vt:variant>
      <vt:variant>
        <vt:lpwstr/>
      </vt:variant>
      <vt:variant>
        <vt:i4>2752633</vt:i4>
      </vt:variant>
      <vt:variant>
        <vt:i4>0</vt:i4>
      </vt:variant>
      <vt:variant>
        <vt:i4>0</vt:i4>
      </vt:variant>
      <vt:variant>
        <vt:i4>5</vt:i4>
      </vt:variant>
      <vt:variant>
        <vt:lpwstr>http://www.ashrae.org/standards-research--technology/advanced-energy-design-guides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Number:</dc:title>
  <dc:creator>shammerling</dc:creator>
  <cp:lastModifiedBy>Hammerling, Steve</cp:lastModifiedBy>
  <cp:revision>5</cp:revision>
  <dcterms:created xsi:type="dcterms:W3CDTF">2015-01-09T18:32:00Z</dcterms:created>
  <dcterms:modified xsi:type="dcterms:W3CDTF">2023-10-19T21:06:00Z</dcterms:modified>
</cp:coreProperties>
</file>