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5E0F" w14:textId="77777777" w:rsidR="00A35BBF" w:rsidRPr="00F4598F" w:rsidRDefault="00A35BBF">
      <w:pPr>
        <w:rPr>
          <w:rFonts w:ascii="Arial" w:hAnsi="Arial" w:cs="Arial"/>
          <w:b/>
          <w:color w:val="FF0000"/>
          <w:sz w:val="22"/>
          <w:szCs w:val="22"/>
        </w:rPr>
      </w:pPr>
    </w:p>
    <w:tbl>
      <w:tblPr>
        <w:tblW w:w="8400" w:type="dxa"/>
        <w:tblCellSpacing w:w="0" w:type="dxa"/>
        <w:tblCellMar>
          <w:left w:w="0" w:type="dxa"/>
          <w:right w:w="0" w:type="dxa"/>
        </w:tblCellMar>
        <w:tblLook w:val="0000" w:firstRow="0" w:lastRow="0" w:firstColumn="0" w:lastColumn="0" w:noHBand="0" w:noVBand="0"/>
      </w:tblPr>
      <w:tblGrid>
        <w:gridCol w:w="10794"/>
        <w:gridCol w:w="6"/>
      </w:tblGrid>
      <w:tr w:rsidR="00E11623" w:rsidRPr="00F4598F" w14:paraId="5E41CEA8" w14:textId="77777777">
        <w:trPr>
          <w:tblCellSpacing w:w="0" w:type="dxa"/>
        </w:trPr>
        <w:tc>
          <w:tcPr>
            <w:tcW w:w="0" w:type="auto"/>
            <w:gridSpan w:val="2"/>
            <w:vAlign w:val="center"/>
          </w:tcPr>
          <w:p w14:paraId="46163D7D" w14:textId="77777777" w:rsidR="00E11623" w:rsidRPr="004F5555" w:rsidRDefault="00E11623">
            <w:pPr>
              <w:pStyle w:val="Heading3"/>
              <w:rPr>
                <w:color w:val="000000"/>
              </w:rPr>
            </w:pPr>
            <w:r w:rsidRPr="004F5555">
              <w:rPr>
                <w:color w:val="000000"/>
              </w:rPr>
              <w:t>ASHRAE Technical FAQ</w:t>
            </w:r>
          </w:p>
        </w:tc>
      </w:tr>
      <w:tr w:rsidR="00E11623" w:rsidRPr="00F4598F" w14:paraId="29B4D6D4" w14:textId="77777777">
        <w:trPr>
          <w:trHeight w:val="8262"/>
          <w:tblCellSpacing w:w="0" w:type="dxa"/>
        </w:trPr>
        <w:tc>
          <w:tcPr>
            <w:tcW w:w="0" w:type="auto"/>
            <w:vAlign w:val="center"/>
          </w:tcPr>
          <w:tbl>
            <w:tblPr>
              <w:tblW w:w="10825" w:type="dxa"/>
              <w:tblCellSpacing w:w="0" w:type="dxa"/>
              <w:tblCellMar>
                <w:top w:w="75" w:type="dxa"/>
                <w:left w:w="75" w:type="dxa"/>
                <w:bottom w:w="75" w:type="dxa"/>
                <w:right w:w="75" w:type="dxa"/>
              </w:tblCellMar>
              <w:tblLook w:val="0000" w:firstRow="0" w:lastRow="0" w:firstColumn="0" w:lastColumn="0" w:noHBand="0" w:noVBand="0"/>
            </w:tblPr>
            <w:tblGrid>
              <w:gridCol w:w="1980"/>
              <w:gridCol w:w="7316"/>
              <w:gridCol w:w="784"/>
              <w:gridCol w:w="745"/>
            </w:tblGrid>
            <w:tr w:rsidR="00E11623" w:rsidRPr="00F4598F" w14:paraId="68E4C32D" w14:textId="77777777" w:rsidTr="005C4A99">
              <w:trPr>
                <w:trHeight w:val="102"/>
                <w:tblCellSpacing w:w="0" w:type="dxa"/>
              </w:trPr>
              <w:tc>
                <w:tcPr>
                  <w:tcW w:w="5000" w:type="pct"/>
                  <w:gridSpan w:val="4"/>
                  <w:vAlign w:val="center"/>
                </w:tcPr>
                <w:p w14:paraId="1DA1F29A" w14:textId="77777777" w:rsidR="00E11623" w:rsidRPr="00F4598F" w:rsidRDefault="009A57EF">
                  <w:pPr>
                    <w:rPr>
                      <w:color w:val="FF0000"/>
                    </w:rPr>
                  </w:pPr>
                  <w:r>
                    <w:rPr>
                      <w:color w:val="FF0000"/>
                    </w:rPr>
                    <w:pict w14:anchorId="033601BA">
                      <v:rect id="_x0000_i1025" style="width:0;height:1.5pt" o:hralign="center" o:hrstd="t" o:hr="t" fillcolor="#aca899" stroked="f"/>
                    </w:pict>
                  </w:r>
                </w:p>
              </w:tc>
            </w:tr>
            <w:tr w:rsidR="00E11623" w:rsidRPr="00F4598F" w14:paraId="66EB52C3" w14:textId="77777777" w:rsidTr="005C4A99">
              <w:trPr>
                <w:gridAfter w:val="1"/>
                <w:wAfter w:w="344" w:type="pct"/>
                <w:trHeight w:val="102"/>
                <w:tblCellSpacing w:w="0" w:type="dxa"/>
              </w:trPr>
              <w:tc>
                <w:tcPr>
                  <w:tcW w:w="915" w:type="pct"/>
                  <w:vAlign w:val="center"/>
                </w:tcPr>
                <w:p w14:paraId="2B208F42" w14:textId="77777777" w:rsidR="00E11623" w:rsidRPr="004F5555" w:rsidRDefault="00E11623">
                  <w:pPr>
                    <w:rPr>
                      <w:color w:val="000000"/>
                    </w:rPr>
                  </w:pPr>
                  <w:r w:rsidRPr="004F5555">
                    <w:rPr>
                      <w:color w:val="000000"/>
                    </w:rPr>
                    <w:t xml:space="preserve">ID </w:t>
                  </w:r>
                </w:p>
              </w:tc>
              <w:tc>
                <w:tcPr>
                  <w:tcW w:w="3741" w:type="pct"/>
                  <w:gridSpan w:val="2"/>
                  <w:vAlign w:val="center"/>
                </w:tcPr>
                <w:p w14:paraId="1B249EC3" w14:textId="77777777" w:rsidR="00E11623" w:rsidRPr="004F5555" w:rsidRDefault="00CF0103" w:rsidP="004F5555">
                  <w:pPr>
                    <w:rPr>
                      <w:color w:val="000000"/>
                    </w:rPr>
                  </w:pPr>
                  <w:r w:rsidRPr="004F5555">
                    <w:rPr>
                      <w:color w:val="000000"/>
                    </w:rPr>
                    <w:t>9</w:t>
                  </w:r>
                  <w:r w:rsidR="004F5555" w:rsidRPr="004F5555">
                    <w:rPr>
                      <w:color w:val="000000"/>
                    </w:rPr>
                    <w:t>4</w:t>
                  </w:r>
                </w:p>
              </w:tc>
            </w:tr>
            <w:tr w:rsidR="00E11623" w:rsidRPr="00F4598F" w14:paraId="757376D0" w14:textId="77777777" w:rsidTr="005C4A99">
              <w:trPr>
                <w:gridAfter w:val="1"/>
                <w:wAfter w:w="344" w:type="pct"/>
                <w:trHeight w:val="102"/>
                <w:tblCellSpacing w:w="0" w:type="dxa"/>
              </w:trPr>
              <w:tc>
                <w:tcPr>
                  <w:tcW w:w="4656" w:type="pct"/>
                  <w:gridSpan w:val="3"/>
                  <w:vAlign w:val="center"/>
                </w:tcPr>
                <w:p w14:paraId="6CD2FE52" w14:textId="77777777" w:rsidR="00E11623" w:rsidRPr="004F5555" w:rsidRDefault="009A57EF">
                  <w:pPr>
                    <w:rPr>
                      <w:color w:val="000000"/>
                    </w:rPr>
                  </w:pPr>
                  <w:r>
                    <w:rPr>
                      <w:color w:val="000000"/>
                    </w:rPr>
                    <w:pict w14:anchorId="49ECFD75">
                      <v:rect id="_x0000_i1026" style="width:0;height:1.5pt" o:hralign="center" o:hrstd="t" o:hr="t" fillcolor="#aca899" stroked="f"/>
                    </w:pict>
                  </w:r>
                </w:p>
              </w:tc>
            </w:tr>
            <w:tr w:rsidR="00E11623" w:rsidRPr="004F5555" w14:paraId="1A678132" w14:textId="77777777" w:rsidTr="005C4A99">
              <w:trPr>
                <w:gridAfter w:val="1"/>
                <w:wAfter w:w="344" w:type="pct"/>
                <w:trHeight w:val="102"/>
                <w:tblCellSpacing w:w="0" w:type="dxa"/>
              </w:trPr>
              <w:tc>
                <w:tcPr>
                  <w:tcW w:w="915" w:type="pct"/>
                  <w:vAlign w:val="center"/>
                </w:tcPr>
                <w:p w14:paraId="69A20079" w14:textId="77777777" w:rsidR="00E11623" w:rsidRPr="004F5555" w:rsidRDefault="00E11623">
                  <w:pPr>
                    <w:rPr>
                      <w:color w:val="000000"/>
                    </w:rPr>
                  </w:pPr>
                  <w:r w:rsidRPr="004F5555">
                    <w:rPr>
                      <w:color w:val="000000"/>
                    </w:rPr>
                    <w:t xml:space="preserve">Question </w:t>
                  </w:r>
                </w:p>
              </w:tc>
              <w:tc>
                <w:tcPr>
                  <w:tcW w:w="3741" w:type="pct"/>
                  <w:gridSpan w:val="2"/>
                  <w:vAlign w:val="center"/>
                </w:tcPr>
                <w:p w14:paraId="06F905FD" w14:textId="77777777" w:rsidR="00E11623" w:rsidRPr="004F5555" w:rsidRDefault="004F5555" w:rsidP="004E6436">
                  <w:pPr>
                    <w:rPr>
                      <w:color w:val="000000"/>
                    </w:rPr>
                  </w:pPr>
                  <w:r w:rsidRPr="004F5555">
                    <w:rPr>
                      <w:color w:val="000000"/>
                    </w:rPr>
                    <w:t xml:space="preserve">What is the relationship between ASHRAE Standard 90.1, the Advanced Energy Design Guide (AEDG) series, and Standard 189.1? </w:t>
                  </w:r>
                </w:p>
              </w:tc>
            </w:tr>
            <w:tr w:rsidR="00E11623" w:rsidRPr="00F4598F" w14:paraId="57702229" w14:textId="77777777" w:rsidTr="005C4A99">
              <w:trPr>
                <w:gridAfter w:val="1"/>
                <w:wAfter w:w="344" w:type="pct"/>
                <w:trHeight w:val="102"/>
                <w:tblCellSpacing w:w="0" w:type="dxa"/>
              </w:trPr>
              <w:tc>
                <w:tcPr>
                  <w:tcW w:w="4656" w:type="pct"/>
                  <w:gridSpan w:val="3"/>
                  <w:vAlign w:val="center"/>
                </w:tcPr>
                <w:p w14:paraId="0FD41D2E" w14:textId="77777777" w:rsidR="00E11623" w:rsidRPr="00F4598F" w:rsidRDefault="009A57EF">
                  <w:pPr>
                    <w:rPr>
                      <w:color w:val="FF0000"/>
                    </w:rPr>
                  </w:pPr>
                  <w:r>
                    <w:rPr>
                      <w:color w:val="FF0000"/>
                    </w:rPr>
                    <w:pict w14:anchorId="23C456E3">
                      <v:rect id="_x0000_i1027" style="width:0;height:1.5pt" o:hralign="center" o:hrstd="t" o:hr="t" fillcolor="#aca899" stroked="f"/>
                    </w:pict>
                  </w:r>
                </w:p>
              </w:tc>
            </w:tr>
            <w:tr w:rsidR="00E11623" w:rsidRPr="00F4598F" w14:paraId="128541C4" w14:textId="77777777" w:rsidTr="005C4A99">
              <w:trPr>
                <w:gridAfter w:val="1"/>
                <w:wAfter w:w="344" w:type="pct"/>
                <w:trHeight w:val="102"/>
                <w:tblCellSpacing w:w="0" w:type="dxa"/>
              </w:trPr>
              <w:tc>
                <w:tcPr>
                  <w:tcW w:w="915" w:type="pct"/>
                  <w:vAlign w:val="center"/>
                </w:tcPr>
                <w:p w14:paraId="03DB5E6F" w14:textId="77777777" w:rsidR="00E11623" w:rsidRPr="004B024F" w:rsidRDefault="00E11623">
                  <w:pPr>
                    <w:rPr>
                      <w:color w:val="000000"/>
                    </w:rPr>
                  </w:pPr>
                  <w:r w:rsidRPr="004B024F">
                    <w:rPr>
                      <w:color w:val="000000"/>
                    </w:rPr>
                    <w:t xml:space="preserve">Answer </w:t>
                  </w:r>
                </w:p>
              </w:tc>
              <w:tc>
                <w:tcPr>
                  <w:tcW w:w="3741" w:type="pct"/>
                  <w:gridSpan w:val="2"/>
                  <w:vAlign w:val="center"/>
                </w:tcPr>
                <w:p w14:paraId="11C26C25" w14:textId="77777777" w:rsidR="00E30203" w:rsidRPr="00C21E65" w:rsidRDefault="004B024F" w:rsidP="004B024F">
                  <w:pPr>
                    <w:rPr>
                      <w:color w:val="000000"/>
                    </w:rPr>
                  </w:pPr>
                  <w:r w:rsidRPr="00C21E65">
                    <w:rPr>
                      <w:color w:val="000000"/>
                    </w:rPr>
                    <w:t>While each of these publications is related to reducing energy use of buildings, each has a different stated purpose and objective. </w:t>
                  </w:r>
                </w:p>
                <w:p w14:paraId="6ABB742C" w14:textId="0F14578F" w:rsidR="004B024F" w:rsidRPr="001511AA" w:rsidRDefault="004B024F" w:rsidP="004B024F">
                  <w:pPr>
                    <w:rPr>
                      <w:color w:val="000000"/>
                    </w:rPr>
                  </w:pPr>
                  <w:r w:rsidRPr="001511AA">
                    <w:rPr>
                      <w:color w:val="000000"/>
                    </w:rPr>
                    <w:t xml:space="preserve"> </w:t>
                  </w:r>
                  <w:r w:rsidRPr="001511AA">
                    <w:rPr>
                      <w:color w:val="000000"/>
                    </w:rPr>
                    <w:br/>
                  </w:r>
                  <w:hyperlink r:id="rId4" w:history="1">
                    <w:r w:rsidRPr="00CB2759">
                      <w:rPr>
                        <w:rStyle w:val="Hyperlink"/>
                      </w:rPr>
                      <w:t>ANSI/ASHRAE/IESNA Sta</w:t>
                    </w:r>
                    <w:r w:rsidRPr="00CB2759">
                      <w:rPr>
                        <w:rStyle w:val="Hyperlink"/>
                      </w:rPr>
                      <w:t>n</w:t>
                    </w:r>
                    <w:r w:rsidRPr="00CB2759">
                      <w:rPr>
                        <w:rStyle w:val="Hyperlink"/>
                      </w:rPr>
                      <w:t>dard 90.1, Energy Standard for Buildings except Low-Rise Residential Buildings,</w:t>
                    </w:r>
                  </w:hyperlink>
                  <w:r w:rsidRPr="00CB2759">
                    <w:rPr>
                      <w:color w:val="000000"/>
                    </w:rPr>
                    <w:t xml:space="preserve"> is</w:t>
                  </w:r>
                  <w:r w:rsidRPr="001511AA">
                    <w:rPr>
                      <w:color w:val="000000"/>
                    </w:rPr>
                    <w:t xml:space="preserve"> published as a consensus standard to provide </w:t>
                  </w:r>
                  <w:r w:rsidRPr="001511AA">
                    <w:rPr>
                      <w:i/>
                      <w:iCs/>
                      <w:color w:val="000000"/>
                    </w:rPr>
                    <w:t>minimum</w:t>
                  </w:r>
                  <w:r w:rsidRPr="001511AA">
                    <w:rPr>
                      <w:color w:val="000000"/>
                    </w:rPr>
                    <w:t xml:space="preserve"> requirements for the energy-efficient design of new and renovated or retrofitted buildings.  </w:t>
                  </w:r>
                  <w:bookmarkStart w:id="0" w:name="1"/>
                  <w:bookmarkEnd w:id="0"/>
                  <w:r w:rsidRPr="001511AA">
                    <w:rPr>
                      <w:color w:val="000000"/>
                    </w:rPr>
                    <w:t>90.1 has become the basis for building codes, and the standard for building design and construction throughout the United States.</w:t>
                  </w:r>
                  <w:r w:rsidRPr="001511AA">
                    <w:rPr>
                      <w:rStyle w:val="CommentReference"/>
                      <w:color w:val="000000"/>
                      <w:sz w:val="16"/>
                      <w:szCs w:val="16"/>
                    </w:rPr>
                    <w:t xml:space="preserve"> </w:t>
                  </w:r>
                  <w:r w:rsidRPr="001511AA">
                    <w:rPr>
                      <w:color w:val="000000"/>
                    </w:rPr>
                    <w:t>90.1-</w:t>
                  </w:r>
                  <w:r w:rsidR="00E40216">
                    <w:rPr>
                      <w:color w:val="000000"/>
                    </w:rPr>
                    <w:t>2013</w:t>
                  </w:r>
                  <w:r w:rsidRPr="001511AA">
                    <w:rPr>
                      <w:color w:val="000000"/>
                    </w:rPr>
                    <w:t xml:space="preserve"> has recently been approved by DOE as the minimum standard to be met by all states in the U.S</w:t>
                  </w:r>
                  <w:r w:rsidR="00E40216">
                    <w:rPr>
                      <w:color w:val="000000"/>
                    </w:rPr>
                    <w:t>. (by Sept. 26, 2016)</w:t>
                  </w:r>
                  <w:r w:rsidRPr="001511AA">
                    <w:rPr>
                      <w:color w:val="000000"/>
                    </w:rPr>
                    <w:t xml:space="preserve">.  It is written in a code intended language as minimum requirements so it does not necessarily provide exemplary or state-of-the-art design guidance.  ASHRAE Standard 90.1 is on continuous maintenance and is republished on a three year cycle.  The current </w:t>
                  </w:r>
                  <w:r w:rsidRPr="00CB2759">
                    <w:rPr>
                      <w:color w:val="000000"/>
                    </w:rPr>
                    <w:t xml:space="preserve">version is </w:t>
                  </w:r>
                  <w:hyperlink r:id="rId5" w:history="1">
                    <w:r w:rsidRPr="00CB2759">
                      <w:rPr>
                        <w:rStyle w:val="Hyperlink"/>
                      </w:rPr>
                      <w:t>90.1-</w:t>
                    </w:r>
                    <w:r w:rsidR="000E7005" w:rsidRPr="00CB2759">
                      <w:rPr>
                        <w:rStyle w:val="Hyperlink"/>
                      </w:rPr>
                      <w:t>20</w:t>
                    </w:r>
                    <w:r w:rsidR="009A57EF">
                      <w:rPr>
                        <w:rStyle w:val="Hyperlink"/>
                      </w:rPr>
                      <w:t>22</w:t>
                    </w:r>
                  </w:hyperlink>
                  <w:r w:rsidRPr="00CB2759">
                    <w:rPr>
                      <w:color w:val="000000"/>
                    </w:rPr>
                    <w:t>.</w:t>
                  </w:r>
                  <w:r w:rsidRPr="001511AA">
                    <w:rPr>
                      <w:color w:val="000000"/>
                    </w:rPr>
                    <w:t xml:space="preserve">  </w:t>
                  </w:r>
                </w:p>
                <w:p w14:paraId="3464A6AF" w14:textId="77777777" w:rsidR="004B024F" w:rsidRPr="001511AA" w:rsidRDefault="004B024F" w:rsidP="004B024F">
                  <w:pPr>
                    <w:rPr>
                      <w:color w:val="000000"/>
                    </w:rPr>
                  </w:pPr>
                </w:p>
                <w:p w14:paraId="145B543B" w14:textId="10108048" w:rsidR="004B024F" w:rsidRPr="001511AA" w:rsidRDefault="004B024F" w:rsidP="004B024F">
                  <w:pPr>
                    <w:rPr>
                      <w:color w:val="000000"/>
                    </w:rPr>
                  </w:pPr>
                  <w:r w:rsidRPr="001511AA">
                    <w:rPr>
                      <w:color w:val="000000"/>
                    </w:rPr>
                    <w:t>In contrast</w:t>
                  </w:r>
                  <w:r w:rsidR="00C21E65" w:rsidRPr="001511AA">
                    <w:rPr>
                      <w:color w:val="000000"/>
                    </w:rPr>
                    <w:t>,</w:t>
                  </w:r>
                  <w:r w:rsidRPr="001511AA">
                    <w:rPr>
                      <w:color w:val="000000"/>
                    </w:rPr>
                    <w:t xml:space="preserve"> </w:t>
                  </w:r>
                  <w:r w:rsidRPr="000E7005">
                    <w:rPr>
                      <w:color w:val="000000"/>
                    </w:rPr>
                    <w:t xml:space="preserve">the </w:t>
                  </w:r>
                  <w:hyperlink r:id="rId6" w:history="1">
                    <w:r w:rsidRPr="000E7005">
                      <w:rPr>
                        <w:rStyle w:val="Hyperlink"/>
                      </w:rPr>
                      <w:t>ASHRAE Advanced Energy Design Guides (AEDG)</w:t>
                    </w:r>
                  </w:hyperlink>
                  <w:r w:rsidRPr="000E7005">
                    <w:rPr>
                      <w:color w:val="000000"/>
                    </w:rPr>
                    <w:t xml:space="preserve"> are a series of publications designed to provide prescriptive recommendations for achieving 30% </w:t>
                  </w:r>
                  <w:r w:rsidR="00844AA6">
                    <w:rPr>
                      <w:color w:val="000000"/>
                    </w:rPr>
                    <w:t xml:space="preserve"> or 50% </w:t>
                  </w:r>
                  <w:r w:rsidRPr="000E7005">
                    <w:rPr>
                      <w:color w:val="000000"/>
                    </w:rPr>
                    <w:t>energy savings over the minimum requirements in Standard 90.1</w:t>
                  </w:r>
                  <w:r w:rsidR="00844AA6">
                    <w:rPr>
                      <w:color w:val="000000"/>
                    </w:rPr>
                    <w:t xml:space="preserve"> (</w:t>
                  </w:r>
                  <w:r w:rsidRPr="000E7005">
                    <w:rPr>
                      <w:color w:val="000000"/>
                    </w:rPr>
                    <w:t>1999</w:t>
                  </w:r>
                  <w:r w:rsidR="00844AA6">
                    <w:rPr>
                      <w:color w:val="000000"/>
                    </w:rPr>
                    <w:t xml:space="preserve"> or 2004 respectively) </w:t>
                  </w:r>
                  <w:r w:rsidRPr="000E7005">
                    <w:rPr>
                      <w:color w:val="000000"/>
                    </w:rPr>
                    <w:t xml:space="preserve"> in eight U.S. climate zones.  They are developed by a committee of experts and undergo peer review but are not developed through a consensus process.  They show a way, but not the only way, to achieve 30% </w:t>
                  </w:r>
                  <w:r w:rsidR="00844AA6">
                    <w:rPr>
                      <w:color w:val="000000"/>
                    </w:rPr>
                    <w:t xml:space="preserve">or 50% </w:t>
                  </w:r>
                  <w:r w:rsidRPr="000E7005">
                    <w:rPr>
                      <w:color w:val="000000"/>
                    </w:rPr>
                    <w:t>savings.  Th</w:t>
                  </w:r>
                  <w:r w:rsidR="00844AA6">
                    <w:rPr>
                      <w:color w:val="000000"/>
                    </w:rPr>
                    <w:t>e</w:t>
                  </w:r>
                  <w:r w:rsidR="00E40216">
                    <w:rPr>
                      <w:color w:val="000000"/>
                    </w:rPr>
                    <w:t xml:space="preserve"> </w:t>
                  </w:r>
                  <w:r w:rsidR="00844AA6">
                    <w:rPr>
                      <w:color w:val="000000"/>
                    </w:rPr>
                    <w:t>specific</w:t>
                  </w:r>
                  <w:r w:rsidRPr="000E7005">
                    <w:rPr>
                      <w:color w:val="000000"/>
                    </w:rPr>
                    <w:t xml:space="preserve"> version of 90.1 provides the reference point to maintain a consistent baseline and scale for the AEDG </w:t>
                  </w:r>
                  <w:r w:rsidR="00844AA6">
                    <w:rPr>
                      <w:color w:val="000000"/>
                    </w:rPr>
                    <w:t>guides</w:t>
                  </w:r>
                  <w:r w:rsidRPr="000E7005">
                    <w:rPr>
                      <w:color w:val="000000"/>
                    </w:rPr>
                    <w:t xml:space="preserve">.  However, many of the energy simulation results for the AEDGs showed greater than </w:t>
                  </w:r>
                  <w:r w:rsidR="00844AA6">
                    <w:rPr>
                      <w:color w:val="000000"/>
                    </w:rPr>
                    <w:t>the target</w:t>
                  </w:r>
                  <w:r w:rsidRPr="000E7005">
                    <w:rPr>
                      <w:color w:val="000000"/>
                    </w:rPr>
                    <w:t xml:space="preserve"> savings (see the </w:t>
                  </w:r>
                  <w:hyperlink r:id="rId7" w:history="1">
                    <w:r w:rsidRPr="000E7005">
                      <w:rPr>
                        <w:rStyle w:val="Hyperlink"/>
                      </w:rPr>
                      <w:t xml:space="preserve">Technical Support </w:t>
                    </w:r>
                    <w:r w:rsidRPr="000E7005">
                      <w:rPr>
                        <w:rStyle w:val="Hyperlink"/>
                      </w:rPr>
                      <w:t>D</w:t>
                    </w:r>
                    <w:r w:rsidRPr="000E7005">
                      <w:rPr>
                        <w:rStyle w:val="Hyperlink"/>
                      </w:rPr>
                      <w:t>ocuments</w:t>
                    </w:r>
                  </w:hyperlink>
                  <w:r w:rsidRPr="000E7005">
                    <w:rPr>
                      <w:color w:val="000000"/>
                    </w:rPr>
                    <w:t>)</w:t>
                  </w:r>
                  <w:r w:rsidR="00844AA6">
                    <w:rPr>
                      <w:color w:val="000000"/>
                    </w:rPr>
                    <w:t xml:space="preserve">. The </w:t>
                  </w:r>
                  <w:r w:rsidR="00E40216">
                    <w:rPr>
                      <w:color w:val="000000"/>
                    </w:rPr>
                    <w:t>guides note</w:t>
                  </w:r>
                  <w:r w:rsidR="00844AA6">
                    <w:rPr>
                      <w:color w:val="000000"/>
                    </w:rPr>
                    <w:t xml:space="preserve"> the savings relationship to more recent versions of 90.1</w:t>
                  </w:r>
                  <w:r w:rsidRPr="000E7005">
                    <w:rPr>
                      <w:color w:val="000000"/>
                    </w:rPr>
                    <w:t xml:space="preserve">. </w:t>
                  </w:r>
                </w:p>
                <w:p w14:paraId="0EBB07F2" w14:textId="77777777" w:rsidR="004B024F" w:rsidRPr="001511AA" w:rsidRDefault="004B024F" w:rsidP="004B024F">
                  <w:pPr>
                    <w:rPr>
                      <w:color w:val="000000"/>
                    </w:rPr>
                  </w:pPr>
                </w:p>
                <w:p w14:paraId="1DF7CEFC" w14:textId="5F073B6F" w:rsidR="005C4A99" w:rsidRPr="00C21E65" w:rsidRDefault="004B024F" w:rsidP="004B024F">
                  <w:pPr>
                    <w:rPr>
                      <w:b/>
                      <w:bCs/>
                      <w:color w:val="000000"/>
                    </w:rPr>
                  </w:pPr>
                  <w:r w:rsidRPr="001511AA">
                    <w:rPr>
                      <w:color w:val="000000"/>
                    </w:rPr>
                    <w:t>As 90.1 gets more stringent, the standard will eventually surpass the energy savings recommended AEDGs, however, they will remain excellent tools for energy-efficient design of buildings for quite some time. These guides provide a good</w:t>
                  </w:r>
                  <w:r w:rsidRPr="00C21E65">
                    <w:rPr>
                      <w:color w:val="000000"/>
                    </w:rPr>
                    <w:t xml:space="preserve"> starting point for anyone looking for a prescriptive, simple way to improve their energy efficiency and remain a good resource due to the information contained in the how-to tips. </w:t>
                  </w:r>
                  <w:r w:rsidR="00E40216">
                    <w:rPr>
                      <w:color w:val="000000"/>
                    </w:rPr>
                    <w:br/>
                  </w:r>
                </w:p>
                <w:p w14:paraId="46CC6B4B" w14:textId="3D05D7DA" w:rsidR="004B024F" w:rsidRPr="00C21E65" w:rsidRDefault="009A57EF" w:rsidP="004B024F">
                  <w:pPr>
                    <w:rPr>
                      <w:color w:val="000000"/>
                    </w:rPr>
                  </w:pPr>
                  <w:hyperlink r:id="rId8" w:history="1">
                    <w:r w:rsidR="000E7005" w:rsidRPr="00775753">
                      <w:rPr>
                        <w:rStyle w:val="Hyperlink"/>
                      </w:rPr>
                      <w:t xml:space="preserve">ASHRAE Standard </w:t>
                    </w:r>
                    <w:r w:rsidR="000E7005" w:rsidRPr="00775753">
                      <w:rPr>
                        <w:rStyle w:val="Hyperlink"/>
                      </w:rPr>
                      <w:t>189.1-20</w:t>
                    </w:r>
                    <w:r>
                      <w:rPr>
                        <w:rStyle w:val="Hyperlink"/>
                      </w:rPr>
                      <w:t>20</w:t>
                    </w:r>
                  </w:hyperlink>
                  <w:r w:rsidR="000E7005" w:rsidRPr="000E7005">
                    <w:t xml:space="preserve">, </w:t>
                  </w:r>
                  <w:r w:rsidR="004B024F" w:rsidRPr="000E7005">
                    <w:rPr>
                      <w:rStyle w:val="Hyperlink"/>
                      <w:color w:val="000000"/>
                      <w:u w:val="none"/>
                    </w:rPr>
                    <w:t>Standard for the Design of High-Performance, Green Buildings except Low-Rise Residential Buildings,</w:t>
                  </w:r>
                  <w:r w:rsidR="004B024F" w:rsidRPr="000E7005">
                    <w:rPr>
                      <w:rStyle w:val="Hyperlink"/>
                      <w:color w:val="000000"/>
                    </w:rPr>
                    <w:t xml:space="preserve"> </w:t>
                  </w:r>
                  <w:r w:rsidR="004B024F" w:rsidRPr="000E7005">
                    <w:rPr>
                      <w:color w:val="000000"/>
                    </w:rPr>
                    <w:t>is</w:t>
                  </w:r>
                  <w:r w:rsidR="004B024F" w:rsidRPr="001511AA">
                    <w:rPr>
                      <w:color w:val="000000"/>
                    </w:rPr>
                    <w:t xml:space="preserve"> intended for buildings that wish to exceed</w:t>
                  </w:r>
                  <w:r w:rsidR="004B024F" w:rsidRPr="00C21E65">
                    <w:rPr>
                      <w:color w:val="000000"/>
                    </w:rPr>
                    <w:t xml:space="preserve"> the minimum requirements of Standard 90.1.  This standard is currently in development with a goal for publication in early 2010.   Public </w:t>
                  </w:r>
                  <w:r w:rsidR="004B024F" w:rsidRPr="00C21E65">
                    <w:rPr>
                      <w:color w:val="000000"/>
                    </w:rPr>
                    <w:lastRenderedPageBreak/>
                    <w:t xml:space="preserve">reviews will be available at the </w:t>
                  </w:r>
                  <w:hyperlink r:id="rId9" w:history="1">
                    <w:r w:rsidR="004B024F" w:rsidRPr="00C21E65">
                      <w:rPr>
                        <w:rStyle w:val="Hyperlink"/>
                        <w:color w:val="000000"/>
                      </w:rPr>
                      <w:t>Standards</w:t>
                    </w:r>
                  </w:hyperlink>
                  <w:r w:rsidR="004B024F" w:rsidRPr="00C21E65">
                    <w:rPr>
                      <w:color w:val="000000"/>
                    </w:rPr>
                    <w:t xml:space="preserve"> page of the ASHRAE website. </w:t>
                  </w:r>
                </w:p>
                <w:p w14:paraId="2B3CFC9B" w14:textId="77777777" w:rsidR="004B024F" w:rsidRPr="00C21E65" w:rsidRDefault="004B024F" w:rsidP="004B024F">
                  <w:pPr>
                    <w:rPr>
                      <w:color w:val="000000"/>
                    </w:rPr>
                  </w:pPr>
                </w:p>
                <w:p w14:paraId="5DB39069" w14:textId="77777777" w:rsidR="004B024F" w:rsidRPr="00C21E65" w:rsidRDefault="004B024F" w:rsidP="004B024F">
                  <w:pPr>
                    <w:rPr>
                      <w:color w:val="000000"/>
                    </w:rPr>
                  </w:pPr>
                  <w:r w:rsidRPr="00C21E65">
                    <w:rPr>
                      <w:color w:val="000000"/>
                    </w:rPr>
                    <w:t xml:space="preserve">189.1 is broader in scope than 90.1 and is intended to provide minimum requirements for the siting, design, and construction (including plans for operation) of high performance, green buildings.   The goal is not just energy efficiency but a balance of environmental responsibility, resource efficiency, occupant comfort and well being, and community sensitivity, and support the goal of sustainable development. </w:t>
                  </w:r>
                </w:p>
                <w:p w14:paraId="4CB7FEA2" w14:textId="77777777" w:rsidR="004B024F" w:rsidRPr="00C21E65" w:rsidRDefault="004B024F" w:rsidP="004B024F">
                  <w:pPr>
                    <w:rPr>
                      <w:color w:val="000000"/>
                    </w:rPr>
                  </w:pPr>
                </w:p>
                <w:p w14:paraId="49B07BAC" w14:textId="77777777" w:rsidR="00E11623" w:rsidRPr="004B024F" w:rsidRDefault="00083E26" w:rsidP="00083E26">
                  <w:r>
                    <w:rPr>
                      <w:color w:val="000000"/>
                    </w:rPr>
                    <w:t>189.1</w:t>
                  </w:r>
                  <w:r w:rsidR="004B024F" w:rsidRPr="00C21E65">
                    <w:rPr>
                      <w:color w:val="000000"/>
                    </w:rPr>
                    <w:t xml:space="preserve"> has some overlap in scope with ASHRAE Standard 90.1 in that 189.1 includes a section on building energy efficiency.  However, the 189.1 requirements will be consistent in nature with 90.1 but will include significantly more stringent energy requirements.  189.1 is not referenced in the AEDGs or ASHRAE Standard 90.1. </w:t>
                  </w:r>
                </w:p>
              </w:tc>
            </w:tr>
            <w:tr w:rsidR="00E11623" w:rsidRPr="00F4598F" w14:paraId="22343DD5" w14:textId="77777777" w:rsidTr="005C4A99">
              <w:trPr>
                <w:gridAfter w:val="1"/>
                <w:wAfter w:w="344" w:type="pct"/>
                <w:trHeight w:val="212"/>
                <w:tblCellSpacing w:w="0" w:type="dxa"/>
              </w:trPr>
              <w:tc>
                <w:tcPr>
                  <w:tcW w:w="4656" w:type="pct"/>
                  <w:gridSpan w:val="3"/>
                  <w:vAlign w:val="center"/>
                </w:tcPr>
                <w:p w14:paraId="1D38AC3C" w14:textId="77777777" w:rsidR="00E11623" w:rsidRPr="00F4598F" w:rsidRDefault="009A57EF">
                  <w:pPr>
                    <w:rPr>
                      <w:color w:val="FF0000"/>
                    </w:rPr>
                  </w:pPr>
                  <w:r>
                    <w:rPr>
                      <w:color w:val="FF0000"/>
                    </w:rPr>
                    <w:lastRenderedPageBreak/>
                    <w:pict w14:anchorId="3E4603BA">
                      <v:rect id="_x0000_i1028" style="width:0;height:1.5pt" o:hralign="center" o:hrstd="t" o:hr="t" fillcolor="#aca899" stroked="f"/>
                    </w:pict>
                  </w:r>
                </w:p>
              </w:tc>
            </w:tr>
            <w:tr w:rsidR="00E11623" w:rsidRPr="00F4598F" w14:paraId="67B8C627" w14:textId="77777777" w:rsidTr="005C4A99">
              <w:trPr>
                <w:gridAfter w:val="1"/>
                <w:wAfter w:w="344" w:type="pct"/>
                <w:trHeight w:val="396"/>
                <w:tblCellSpacing w:w="0" w:type="dxa"/>
              </w:trPr>
              <w:tc>
                <w:tcPr>
                  <w:tcW w:w="915" w:type="pct"/>
                  <w:vAlign w:val="center"/>
                </w:tcPr>
                <w:p w14:paraId="4934EB85" w14:textId="77777777" w:rsidR="00E11623" w:rsidRPr="004B024F" w:rsidRDefault="00E11623">
                  <w:pPr>
                    <w:rPr>
                      <w:color w:val="000000"/>
                    </w:rPr>
                  </w:pPr>
                  <w:r w:rsidRPr="004B024F">
                    <w:rPr>
                      <w:color w:val="000000"/>
                    </w:rPr>
                    <w:t xml:space="preserve">ASHRAE Pubs </w:t>
                  </w:r>
                </w:p>
              </w:tc>
              <w:tc>
                <w:tcPr>
                  <w:tcW w:w="3741" w:type="pct"/>
                  <w:gridSpan w:val="2"/>
                  <w:vAlign w:val="center"/>
                </w:tcPr>
                <w:p w14:paraId="0E3C30AD" w14:textId="76D2D073" w:rsidR="004F5555" w:rsidRPr="000E7005" w:rsidRDefault="009A57EF" w:rsidP="004F5555">
                  <w:pPr>
                    <w:rPr>
                      <w:rStyle w:val="Hyperlink"/>
                      <w:color w:val="000000"/>
                      <w:u w:val="none"/>
                    </w:rPr>
                  </w:pPr>
                  <w:hyperlink r:id="rId10" w:history="1">
                    <w:r w:rsidR="004F5555" w:rsidRPr="000E7005">
                      <w:rPr>
                        <w:rStyle w:val="Hyperlink"/>
                      </w:rPr>
                      <w:t>ASHRAE Standard 90.1-20</w:t>
                    </w:r>
                    <w:r>
                      <w:rPr>
                        <w:rStyle w:val="Hyperlink"/>
                      </w:rPr>
                      <w:t>22</w:t>
                    </w:r>
                  </w:hyperlink>
                  <w:r w:rsidR="004F5555" w:rsidRPr="000E7005">
                    <w:rPr>
                      <w:color w:val="000000"/>
                    </w:rPr>
                    <w:t xml:space="preserve"> plus </w:t>
                  </w:r>
                  <w:hyperlink r:id="rId11" w:history="1">
                    <w:r w:rsidR="000E7005" w:rsidRPr="000E7005">
                      <w:rPr>
                        <w:rStyle w:val="Hyperlink"/>
                      </w:rPr>
                      <w:t>AS</w:t>
                    </w:r>
                    <w:r w:rsidR="000E7005" w:rsidRPr="000E7005">
                      <w:rPr>
                        <w:rStyle w:val="Hyperlink"/>
                      </w:rPr>
                      <w:t>HRAE BOD approved addenda</w:t>
                    </w:r>
                  </w:hyperlink>
                </w:p>
                <w:p w14:paraId="36240AC8" w14:textId="63A54E6E" w:rsidR="00CF0103" w:rsidRPr="000E7005" w:rsidRDefault="00CF0103" w:rsidP="00CF0103">
                  <w:r w:rsidRPr="000E7005">
                    <w:rPr>
                      <w:color w:val="000000"/>
                    </w:rPr>
                    <w:br/>
                  </w:r>
                  <w:hyperlink r:id="rId12" w:history="1">
                    <w:r w:rsidR="000E7005" w:rsidRPr="000E7005">
                      <w:rPr>
                        <w:rStyle w:val="Hyperlink"/>
                      </w:rPr>
                      <w:t>ASHRAE Standard 189.1-20</w:t>
                    </w:r>
                    <w:r w:rsidR="009A57EF">
                      <w:rPr>
                        <w:rStyle w:val="Hyperlink"/>
                      </w:rPr>
                      <w:t>20</w:t>
                    </w:r>
                  </w:hyperlink>
                  <w:r w:rsidR="000E7005" w:rsidRPr="000E7005">
                    <w:t xml:space="preserve"> </w:t>
                  </w:r>
                  <w:r w:rsidR="000E7005" w:rsidRPr="000E7005">
                    <w:rPr>
                      <w:color w:val="000000"/>
                    </w:rPr>
                    <w:t xml:space="preserve">plus </w:t>
                  </w:r>
                  <w:hyperlink r:id="rId13" w:history="1">
                    <w:r w:rsidR="000E7005" w:rsidRPr="000E7005">
                      <w:rPr>
                        <w:rStyle w:val="Hyperlink"/>
                      </w:rPr>
                      <w:t>ASHRAE BOD approved addenda</w:t>
                    </w:r>
                  </w:hyperlink>
                </w:p>
                <w:p w14:paraId="1FBE5B66" w14:textId="77777777" w:rsidR="00CF0103" w:rsidRPr="000E7005" w:rsidRDefault="00CF0103" w:rsidP="00CF0103">
                  <w:pPr>
                    <w:rPr>
                      <w:color w:val="000000"/>
                    </w:rPr>
                  </w:pPr>
                </w:p>
                <w:p w14:paraId="64C50921" w14:textId="3B48CD9D" w:rsidR="004F5555" w:rsidRPr="000E7005" w:rsidRDefault="009A57EF" w:rsidP="004F5555">
                  <w:pPr>
                    <w:rPr>
                      <w:rStyle w:val="Hyperlink"/>
                      <w:color w:val="000000"/>
                      <w:u w:val="none"/>
                    </w:rPr>
                  </w:pPr>
                  <w:hyperlink r:id="rId14" w:history="1">
                    <w:r w:rsidR="004F5555" w:rsidRPr="000E7005">
                      <w:rPr>
                        <w:rStyle w:val="Hyperlink"/>
                      </w:rPr>
                      <w:t>ASHRAE Advanced Energy Design Guides (AEDG)</w:t>
                    </w:r>
                  </w:hyperlink>
                  <w:r w:rsidR="004F5555" w:rsidRPr="000E7005">
                    <w:rPr>
                      <w:rStyle w:val="Hyperlink"/>
                      <w:color w:val="000000"/>
                      <w:u w:val="none"/>
                    </w:rPr>
                    <w:t xml:space="preserve"> </w:t>
                  </w:r>
                </w:p>
                <w:p w14:paraId="75FC3637" w14:textId="77777777" w:rsidR="00E11623" w:rsidRPr="00F4598F" w:rsidRDefault="00E11623" w:rsidP="00CF0103">
                  <w:pPr>
                    <w:rPr>
                      <w:color w:val="FF0000"/>
                    </w:rPr>
                  </w:pPr>
                </w:p>
              </w:tc>
            </w:tr>
            <w:tr w:rsidR="00E11623" w:rsidRPr="00F4598F" w14:paraId="4DBE64CB" w14:textId="77777777" w:rsidTr="005C4A99">
              <w:trPr>
                <w:gridAfter w:val="1"/>
                <w:wAfter w:w="344" w:type="pct"/>
                <w:trHeight w:val="198"/>
                <w:tblCellSpacing w:w="0" w:type="dxa"/>
              </w:trPr>
              <w:tc>
                <w:tcPr>
                  <w:tcW w:w="4656" w:type="pct"/>
                  <w:gridSpan w:val="3"/>
                  <w:vAlign w:val="center"/>
                </w:tcPr>
                <w:p w14:paraId="3696AED8" w14:textId="77777777" w:rsidR="00E11623" w:rsidRPr="00F4598F" w:rsidRDefault="009A57EF">
                  <w:pPr>
                    <w:rPr>
                      <w:color w:val="FF0000"/>
                    </w:rPr>
                  </w:pPr>
                  <w:r>
                    <w:rPr>
                      <w:color w:val="FF0000"/>
                    </w:rPr>
                    <w:pict w14:anchorId="1F09D86E">
                      <v:rect id="_x0000_i1029" style="width:0;height:1.5pt" o:hralign="center" o:hrstd="t" o:hr="t" fillcolor="#aca899" stroked="f"/>
                    </w:pict>
                  </w:r>
                </w:p>
              </w:tc>
            </w:tr>
            <w:tr w:rsidR="00E11623" w:rsidRPr="00F4598F" w14:paraId="1D545165" w14:textId="77777777" w:rsidTr="005C4A99">
              <w:trPr>
                <w:gridAfter w:val="1"/>
                <w:wAfter w:w="344" w:type="pct"/>
                <w:trHeight w:val="396"/>
                <w:tblCellSpacing w:w="0" w:type="dxa"/>
              </w:trPr>
              <w:tc>
                <w:tcPr>
                  <w:tcW w:w="915" w:type="pct"/>
                  <w:vAlign w:val="center"/>
                </w:tcPr>
                <w:p w14:paraId="1C2D8ECC" w14:textId="77777777" w:rsidR="00E11623" w:rsidRPr="004B024F" w:rsidRDefault="00E11623">
                  <w:pPr>
                    <w:rPr>
                      <w:color w:val="000000"/>
                    </w:rPr>
                  </w:pPr>
                  <w:r w:rsidRPr="004B024F">
                    <w:rPr>
                      <w:color w:val="000000"/>
                    </w:rPr>
                    <w:t xml:space="preserve">Topic References </w:t>
                  </w:r>
                </w:p>
              </w:tc>
              <w:tc>
                <w:tcPr>
                  <w:tcW w:w="3741" w:type="pct"/>
                  <w:gridSpan w:val="2"/>
                  <w:vAlign w:val="center"/>
                </w:tcPr>
                <w:p w14:paraId="1ACBF3CA" w14:textId="77777777" w:rsidR="00E11623" w:rsidRPr="00F4598F" w:rsidRDefault="004F5555">
                  <w:pPr>
                    <w:rPr>
                      <w:color w:val="FF0000"/>
                    </w:rPr>
                  </w:pPr>
                  <w:r w:rsidRPr="00973853">
                    <w:rPr>
                      <w:color w:val="000000"/>
                      <w:sz w:val="23"/>
                      <w:szCs w:val="23"/>
                    </w:rPr>
                    <w:t>energy-efficiency, commercial buildings</w:t>
                  </w:r>
                  <w:r w:rsidRPr="00973853">
                    <w:rPr>
                      <w:color w:val="000000"/>
                    </w:rPr>
                    <w:t xml:space="preserve">, </w:t>
                  </w:r>
                  <w:r>
                    <w:rPr>
                      <w:color w:val="000000"/>
                    </w:rPr>
                    <w:t xml:space="preserve">sustainable buildings, </w:t>
                  </w:r>
                  <w:r w:rsidRPr="00973853">
                    <w:rPr>
                      <w:color w:val="000000"/>
                    </w:rPr>
                    <w:t>advanced energy design guides (AEDG), net-zero energy, 90.1</w:t>
                  </w:r>
                </w:p>
              </w:tc>
            </w:tr>
            <w:tr w:rsidR="00E11623" w:rsidRPr="00F4598F" w14:paraId="4DA0E706" w14:textId="77777777" w:rsidTr="005C4A99">
              <w:trPr>
                <w:trHeight w:val="198"/>
                <w:tblCellSpacing w:w="0" w:type="dxa"/>
              </w:trPr>
              <w:tc>
                <w:tcPr>
                  <w:tcW w:w="5000" w:type="pct"/>
                  <w:gridSpan w:val="4"/>
                  <w:vAlign w:val="center"/>
                </w:tcPr>
                <w:p w14:paraId="46C34E55" w14:textId="77777777" w:rsidR="00E11623" w:rsidRPr="00F4598F" w:rsidRDefault="009A57EF">
                  <w:pPr>
                    <w:rPr>
                      <w:color w:val="FF0000"/>
                    </w:rPr>
                  </w:pPr>
                  <w:r>
                    <w:rPr>
                      <w:color w:val="FF0000"/>
                    </w:rPr>
                    <w:pict w14:anchorId="57C0AFFA">
                      <v:rect id="_x0000_i1030" style="width:0;height:1.5pt" o:hralign="center" o:hrstd="t" o:hr="t" fillcolor="#aca899" stroked="f"/>
                    </w:pict>
                  </w:r>
                </w:p>
              </w:tc>
            </w:tr>
            <w:tr w:rsidR="00E11623" w:rsidRPr="00F4598F" w14:paraId="0AA7A8D6" w14:textId="77777777" w:rsidTr="005C4A99">
              <w:trPr>
                <w:gridAfter w:val="2"/>
                <w:wAfter w:w="706" w:type="pct"/>
                <w:trHeight w:val="2121"/>
                <w:tblCellSpacing w:w="0" w:type="dxa"/>
              </w:trPr>
              <w:tc>
                <w:tcPr>
                  <w:tcW w:w="4294"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E11623" w:rsidRPr="00F4598F" w14:paraId="7B33A8DF" w14:textId="77777777" w:rsidTr="00AB4ECE">
                    <w:trPr>
                      <w:trHeight w:val="316"/>
                      <w:jc w:val="center"/>
                    </w:trPr>
                    <w:tc>
                      <w:tcPr>
                        <w:tcW w:w="460" w:type="dxa"/>
                      </w:tcPr>
                      <w:p w14:paraId="30CBAA58" w14:textId="77777777" w:rsidR="00E11623" w:rsidRPr="00F4598F" w:rsidRDefault="00E11623">
                        <w:pPr>
                          <w:rPr>
                            <w:color w:val="FF0000"/>
                          </w:rPr>
                        </w:pPr>
                      </w:p>
                    </w:tc>
                    <w:tc>
                      <w:tcPr>
                        <w:tcW w:w="3600" w:type="dxa"/>
                      </w:tcPr>
                      <w:p w14:paraId="1052D1A8" w14:textId="77777777" w:rsidR="00E11623" w:rsidRPr="004F5555" w:rsidRDefault="00E11623">
                        <w:pPr>
                          <w:rPr>
                            <w:color w:val="000000"/>
                          </w:rPr>
                        </w:pPr>
                        <w:r w:rsidRPr="004F5555">
                          <w:rPr>
                            <w:color w:val="000000"/>
                          </w:rPr>
                          <w:t>Cognizant ASHRAE Committees</w:t>
                        </w:r>
                      </w:p>
                    </w:tc>
                    <w:tc>
                      <w:tcPr>
                        <w:tcW w:w="2520" w:type="dxa"/>
                      </w:tcPr>
                      <w:p w14:paraId="5441CBC8" w14:textId="77777777" w:rsidR="00E11623" w:rsidRPr="004F5555" w:rsidRDefault="00E11623">
                        <w:pPr>
                          <w:rPr>
                            <w:color w:val="000000"/>
                          </w:rPr>
                        </w:pPr>
                        <w:r w:rsidRPr="004F5555">
                          <w:rPr>
                            <w:color w:val="000000"/>
                          </w:rPr>
                          <w:t>Refer to Organization</w:t>
                        </w:r>
                      </w:p>
                    </w:tc>
                  </w:tr>
                  <w:tr w:rsidR="004F5555" w:rsidRPr="00F4598F" w14:paraId="3CEB7F4A" w14:textId="77777777" w:rsidTr="00AB4ECE">
                    <w:trPr>
                      <w:trHeight w:val="293"/>
                      <w:jc w:val="center"/>
                    </w:trPr>
                    <w:tc>
                      <w:tcPr>
                        <w:tcW w:w="460" w:type="dxa"/>
                      </w:tcPr>
                      <w:p w14:paraId="07E25E76" w14:textId="77777777" w:rsidR="004F5555" w:rsidRPr="004F5555" w:rsidRDefault="004F5555" w:rsidP="005C4A99">
                        <w:pPr>
                          <w:rPr>
                            <w:color w:val="000000"/>
                          </w:rPr>
                        </w:pPr>
                        <w:r w:rsidRPr="004F5555">
                          <w:rPr>
                            <w:color w:val="000000"/>
                          </w:rPr>
                          <w:t>1</w:t>
                        </w:r>
                      </w:p>
                    </w:tc>
                    <w:tc>
                      <w:tcPr>
                        <w:tcW w:w="3600" w:type="dxa"/>
                      </w:tcPr>
                      <w:p w14:paraId="124E9AA1" w14:textId="56CE1F6C" w:rsidR="004F5555" w:rsidRPr="004F5555" w:rsidRDefault="009A57EF" w:rsidP="005C4A99">
                        <w:pPr>
                          <w:rPr>
                            <w:color w:val="000000"/>
                          </w:rPr>
                        </w:pPr>
                        <w:hyperlink r:id="rId15" w:history="1">
                          <w:r w:rsidR="004F5555" w:rsidRPr="000E7005">
                            <w:rPr>
                              <w:rStyle w:val="Hyperlink"/>
                            </w:rPr>
                            <w:t>TC 7.6</w:t>
                          </w:r>
                        </w:hyperlink>
                      </w:p>
                    </w:tc>
                    <w:tc>
                      <w:tcPr>
                        <w:tcW w:w="2520" w:type="dxa"/>
                      </w:tcPr>
                      <w:p w14:paraId="6C8ECA15" w14:textId="77777777" w:rsidR="004F5555" w:rsidRPr="00F4598F" w:rsidRDefault="004F5555">
                        <w:pPr>
                          <w:rPr>
                            <w:color w:val="FF0000"/>
                          </w:rPr>
                        </w:pPr>
                      </w:p>
                    </w:tc>
                  </w:tr>
                  <w:tr w:rsidR="004F5555" w:rsidRPr="00F4598F" w14:paraId="0D114ECF" w14:textId="77777777" w:rsidTr="004F5555">
                    <w:trPr>
                      <w:trHeight w:val="254"/>
                      <w:jc w:val="center"/>
                    </w:trPr>
                    <w:tc>
                      <w:tcPr>
                        <w:tcW w:w="460" w:type="dxa"/>
                      </w:tcPr>
                      <w:p w14:paraId="317F16DF" w14:textId="77777777" w:rsidR="004F5555" w:rsidRPr="004F5555" w:rsidRDefault="004F5555" w:rsidP="005C4A99">
                        <w:pPr>
                          <w:rPr>
                            <w:color w:val="000000"/>
                          </w:rPr>
                        </w:pPr>
                        <w:r w:rsidRPr="004F5555">
                          <w:rPr>
                            <w:color w:val="000000"/>
                          </w:rPr>
                          <w:t>2</w:t>
                        </w:r>
                      </w:p>
                    </w:tc>
                    <w:tc>
                      <w:tcPr>
                        <w:tcW w:w="3600" w:type="dxa"/>
                      </w:tcPr>
                      <w:p w14:paraId="739D2C72" w14:textId="77777777" w:rsidR="004F5555" w:rsidRPr="004F5555" w:rsidRDefault="004F5555" w:rsidP="005C4A99">
                        <w:pPr>
                          <w:rPr>
                            <w:color w:val="000000"/>
                          </w:rPr>
                        </w:pPr>
                        <w:r w:rsidRPr="004F5555">
                          <w:rPr>
                            <w:color w:val="000000"/>
                          </w:rPr>
                          <w:t>SSPC 90.1</w:t>
                        </w:r>
                      </w:p>
                    </w:tc>
                    <w:tc>
                      <w:tcPr>
                        <w:tcW w:w="2520" w:type="dxa"/>
                      </w:tcPr>
                      <w:p w14:paraId="6FBEFD88" w14:textId="77777777" w:rsidR="004F5555" w:rsidRPr="00F4598F" w:rsidRDefault="004F5555">
                        <w:pPr>
                          <w:rPr>
                            <w:color w:val="FF0000"/>
                          </w:rPr>
                        </w:pPr>
                      </w:p>
                    </w:tc>
                  </w:tr>
                  <w:tr w:rsidR="00E11623" w:rsidRPr="00F4598F" w14:paraId="787828A9" w14:textId="77777777" w:rsidTr="00AB4ECE">
                    <w:trPr>
                      <w:trHeight w:val="293"/>
                      <w:jc w:val="center"/>
                    </w:trPr>
                    <w:tc>
                      <w:tcPr>
                        <w:tcW w:w="460" w:type="dxa"/>
                      </w:tcPr>
                      <w:p w14:paraId="6C090D2D" w14:textId="77777777" w:rsidR="00E11623" w:rsidRPr="004F5555" w:rsidRDefault="00E11623">
                        <w:pPr>
                          <w:rPr>
                            <w:color w:val="000000"/>
                          </w:rPr>
                        </w:pPr>
                        <w:r w:rsidRPr="004F5555">
                          <w:rPr>
                            <w:color w:val="000000"/>
                          </w:rPr>
                          <w:t>3</w:t>
                        </w:r>
                      </w:p>
                    </w:tc>
                    <w:tc>
                      <w:tcPr>
                        <w:tcW w:w="3600" w:type="dxa"/>
                      </w:tcPr>
                      <w:p w14:paraId="324B571B" w14:textId="77777777" w:rsidR="00E11623" w:rsidRPr="004F5555" w:rsidRDefault="004F5555">
                        <w:pPr>
                          <w:rPr>
                            <w:color w:val="000000"/>
                          </w:rPr>
                        </w:pPr>
                        <w:r w:rsidRPr="004F5555">
                          <w:rPr>
                            <w:color w:val="000000"/>
                          </w:rPr>
                          <w:t>SSPC 189.1</w:t>
                        </w:r>
                      </w:p>
                    </w:tc>
                    <w:tc>
                      <w:tcPr>
                        <w:tcW w:w="2520" w:type="dxa"/>
                      </w:tcPr>
                      <w:p w14:paraId="0F59860C" w14:textId="77777777" w:rsidR="00E11623" w:rsidRPr="00F4598F" w:rsidRDefault="00E11623">
                        <w:pPr>
                          <w:rPr>
                            <w:color w:val="FF0000"/>
                          </w:rPr>
                        </w:pPr>
                      </w:p>
                    </w:tc>
                  </w:tr>
                  <w:tr w:rsidR="00E11623" w:rsidRPr="00F4598F" w14:paraId="2F8F31D7" w14:textId="77777777" w:rsidTr="00AB4ECE">
                    <w:trPr>
                      <w:trHeight w:val="316"/>
                      <w:jc w:val="center"/>
                    </w:trPr>
                    <w:tc>
                      <w:tcPr>
                        <w:tcW w:w="460" w:type="dxa"/>
                      </w:tcPr>
                      <w:p w14:paraId="34BCE557" w14:textId="77777777" w:rsidR="00E11623" w:rsidRPr="004F5555" w:rsidRDefault="00E11623">
                        <w:pPr>
                          <w:rPr>
                            <w:color w:val="000000"/>
                          </w:rPr>
                        </w:pPr>
                      </w:p>
                    </w:tc>
                    <w:tc>
                      <w:tcPr>
                        <w:tcW w:w="3600" w:type="dxa"/>
                      </w:tcPr>
                      <w:p w14:paraId="4DB6FD84" w14:textId="77777777" w:rsidR="00E11623" w:rsidRPr="004F5555" w:rsidRDefault="00E11623">
                        <w:pPr>
                          <w:rPr>
                            <w:color w:val="000000"/>
                          </w:rPr>
                        </w:pPr>
                      </w:p>
                    </w:tc>
                    <w:tc>
                      <w:tcPr>
                        <w:tcW w:w="2520" w:type="dxa"/>
                      </w:tcPr>
                      <w:p w14:paraId="002892AA" w14:textId="77777777" w:rsidR="00E11623" w:rsidRPr="00F4598F" w:rsidRDefault="00E11623">
                        <w:pPr>
                          <w:rPr>
                            <w:color w:val="FF0000"/>
                          </w:rPr>
                        </w:pPr>
                      </w:p>
                    </w:tc>
                  </w:tr>
                  <w:tr w:rsidR="00E11623" w:rsidRPr="00F4598F" w14:paraId="108C6320" w14:textId="77777777" w:rsidTr="00AB4ECE">
                    <w:trPr>
                      <w:trHeight w:val="316"/>
                      <w:jc w:val="center"/>
                    </w:trPr>
                    <w:tc>
                      <w:tcPr>
                        <w:tcW w:w="460" w:type="dxa"/>
                      </w:tcPr>
                      <w:p w14:paraId="2377D3C9" w14:textId="77777777" w:rsidR="00E11623" w:rsidRPr="00F4598F" w:rsidRDefault="00E11623">
                        <w:pPr>
                          <w:rPr>
                            <w:color w:val="FF0000"/>
                          </w:rPr>
                        </w:pPr>
                      </w:p>
                    </w:tc>
                    <w:tc>
                      <w:tcPr>
                        <w:tcW w:w="3600" w:type="dxa"/>
                      </w:tcPr>
                      <w:p w14:paraId="47047D3E" w14:textId="77777777" w:rsidR="00E11623" w:rsidRPr="00F4598F" w:rsidRDefault="00E11623">
                        <w:pPr>
                          <w:rPr>
                            <w:color w:val="FF0000"/>
                          </w:rPr>
                        </w:pPr>
                      </w:p>
                    </w:tc>
                    <w:tc>
                      <w:tcPr>
                        <w:tcW w:w="2520" w:type="dxa"/>
                      </w:tcPr>
                      <w:p w14:paraId="12458858" w14:textId="77777777" w:rsidR="00E11623" w:rsidRPr="00F4598F" w:rsidRDefault="00E11623">
                        <w:pPr>
                          <w:rPr>
                            <w:color w:val="FF0000"/>
                          </w:rPr>
                        </w:pPr>
                      </w:p>
                    </w:tc>
                  </w:tr>
                </w:tbl>
                <w:p w14:paraId="74C37D37" w14:textId="77777777" w:rsidR="00E11623" w:rsidRPr="00F4598F" w:rsidRDefault="00E11623">
                  <w:pPr>
                    <w:rPr>
                      <w:color w:val="FF0000"/>
                    </w:rPr>
                  </w:pPr>
                </w:p>
              </w:tc>
            </w:tr>
            <w:tr w:rsidR="00E11623" w:rsidRPr="00F4598F" w14:paraId="1B057D3E" w14:textId="77777777" w:rsidTr="005C4A99">
              <w:trPr>
                <w:trHeight w:val="212"/>
                <w:tblCellSpacing w:w="0" w:type="dxa"/>
              </w:trPr>
              <w:tc>
                <w:tcPr>
                  <w:tcW w:w="5000" w:type="pct"/>
                  <w:gridSpan w:val="4"/>
                  <w:vAlign w:val="center"/>
                </w:tcPr>
                <w:p w14:paraId="5D04C4F9" w14:textId="77777777" w:rsidR="00E11623" w:rsidRPr="00F4598F" w:rsidRDefault="00E11623">
                  <w:pPr>
                    <w:rPr>
                      <w:color w:val="FF0000"/>
                    </w:rPr>
                  </w:pPr>
                </w:p>
              </w:tc>
            </w:tr>
          </w:tbl>
          <w:p w14:paraId="3CA285DF" w14:textId="77777777" w:rsidR="00E11623" w:rsidRPr="00F4598F" w:rsidRDefault="00E11623">
            <w:pPr>
              <w:rPr>
                <w:color w:val="FF0000"/>
              </w:rPr>
            </w:pPr>
          </w:p>
        </w:tc>
        <w:tc>
          <w:tcPr>
            <w:tcW w:w="0" w:type="auto"/>
            <w:vAlign w:val="center"/>
          </w:tcPr>
          <w:p w14:paraId="41F68764" w14:textId="77777777" w:rsidR="00E11623" w:rsidRPr="00F4598F" w:rsidRDefault="00E11623">
            <w:pPr>
              <w:rPr>
                <w:color w:val="FF0000"/>
                <w:sz w:val="20"/>
                <w:szCs w:val="20"/>
              </w:rPr>
            </w:pPr>
          </w:p>
        </w:tc>
      </w:tr>
    </w:tbl>
    <w:p w14:paraId="19A25224" w14:textId="77777777" w:rsidR="0073616E" w:rsidRPr="00F4598F" w:rsidRDefault="0073616E">
      <w:pPr>
        <w:rPr>
          <w:rFonts w:ascii="Arial" w:hAnsi="Arial" w:cs="Arial"/>
          <w:color w:val="FF0000"/>
        </w:rPr>
      </w:pPr>
    </w:p>
    <w:sectPr w:rsidR="0073616E" w:rsidRPr="00F4598F"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0103"/>
    <w:rsid w:val="000142F9"/>
    <w:rsid w:val="00026B8D"/>
    <w:rsid w:val="000405EC"/>
    <w:rsid w:val="00043D6E"/>
    <w:rsid w:val="0005555B"/>
    <w:rsid w:val="00083E26"/>
    <w:rsid w:val="000A4C5E"/>
    <w:rsid w:val="000B1E64"/>
    <w:rsid w:val="000C17CC"/>
    <w:rsid w:val="000C3D1F"/>
    <w:rsid w:val="000C7C12"/>
    <w:rsid w:val="000D61FB"/>
    <w:rsid w:val="000E41B2"/>
    <w:rsid w:val="000E46C8"/>
    <w:rsid w:val="000E4A46"/>
    <w:rsid w:val="000E7005"/>
    <w:rsid w:val="00105431"/>
    <w:rsid w:val="00111AD9"/>
    <w:rsid w:val="00133B32"/>
    <w:rsid w:val="00136D1C"/>
    <w:rsid w:val="001511AA"/>
    <w:rsid w:val="001538C4"/>
    <w:rsid w:val="00160B58"/>
    <w:rsid w:val="00167169"/>
    <w:rsid w:val="00176F30"/>
    <w:rsid w:val="00177D55"/>
    <w:rsid w:val="001935DF"/>
    <w:rsid w:val="0019749A"/>
    <w:rsid w:val="001B7130"/>
    <w:rsid w:val="001F0C26"/>
    <w:rsid w:val="002051F5"/>
    <w:rsid w:val="0020535B"/>
    <w:rsid w:val="002173A6"/>
    <w:rsid w:val="00252728"/>
    <w:rsid w:val="002579BF"/>
    <w:rsid w:val="00257E60"/>
    <w:rsid w:val="00271495"/>
    <w:rsid w:val="0027767A"/>
    <w:rsid w:val="002779BB"/>
    <w:rsid w:val="00281782"/>
    <w:rsid w:val="002825E3"/>
    <w:rsid w:val="00295C38"/>
    <w:rsid w:val="002B0D3F"/>
    <w:rsid w:val="002B6692"/>
    <w:rsid w:val="002C6A17"/>
    <w:rsid w:val="002E45EC"/>
    <w:rsid w:val="002F4E1B"/>
    <w:rsid w:val="002F6C9C"/>
    <w:rsid w:val="003117BC"/>
    <w:rsid w:val="003121B2"/>
    <w:rsid w:val="003478DA"/>
    <w:rsid w:val="00354FC9"/>
    <w:rsid w:val="00356BED"/>
    <w:rsid w:val="00357E79"/>
    <w:rsid w:val="003857A7"/>
    <w:rsid w:val="003A0081"/>
    <w:rsid w:val="003A1FF8"/>
    <w:rsid w:val="003A2FCC"/>
    <w:rsid w:val="003A7837"/>
    <w:rsid w:val="003B7412"/>
    <w:rsid w:val="003C4E8B"/>
    <w:rsid w:val="003D4ED5"/>
    <w:rsid w:val="0040222F"/>
    <w:rsid w:val="004138CF"/>
    <w:rsid w:val="004265F2"/>
    <w:rsid w:val="004275F8"/>
    <w:rsid w:val="00437DC1"/>
    <w:rsid w:val="004424C2"/>
    <w:rsid w:val="004466ED"/>
    <w:rsid w:val="0044728F"/>
    <w:rsid w:val="004543E1"/>
    <w:rsid w:val="00454431"/>
    <w:rsid w:val="00460FE3"/>
    <w:rsid w:val="004816F2"/>
    <w:rsid w:val="004A37B0"/>
    <w:rsid w:val="004A4C42"/>
    <w:rsid w:val="004B024F"/>
    <w:rsid w:val="004E6436"/>
    <w:rsid w:val="004F534E"/>
    <w:rsid w:val="004F5555"/>
    <w:rsid w:val="00526CA2"/>
    <w:rsid w:val="005373C0"/>
    <w:rsid w:val="00554020"/>
    <w:rsid w:val="00555DE5"/>
    <w:rsid w:val="005614FF"/>
    <w:rsid w:val="00571372"/>
    <w:rsid w:val="00573B26"/>
    <w:rsid w:val="005750B3"/>
    <w:rsid w:val="00575DE3"/>
    <w:rsid w:val="005823A8"/>
    <w:rsid w:val="005C2DAE"/>
    <w:rsid w:val="005C3B4D"/>
    <w:rsid w:val="005C4A99"/>
    <w:rsid w:val="005D5A07"/>
    <w:rsid w:val="005E4570"/>
    <w:rsid w:val="005F09FF"/>
    <w:rsid w:val="005F5381"/>
    <w:rsid w:val="005F6297"/>
    <w:rsid w:val="00634806"/>
    <w:rsid w:val="00650ACA"/>
    <w:rsid w:val="006A394D"/>
    <w:rsid w:val="006B4FBD"/>
    <w:rsid w:val="006B6767"/>
    <w:rsid w:val="006C4140"/>
    <w:rsid w:val="006E623D"/>
    <w:rsid w:val="006F2C88"/>
    <w:rsid w:val="006F48B2"/>
    <w:rsid w:val="007017C3"/>
    <w:rsid w:val="00706381"/>
    <w:rsid w:val="00714365"/>
    <w:rsid w:val="00724256"/>
    <w:rsid w:val="0073616E"/>
    <w:rsid w:val="007467D8"/>
    <w:rsid w:val="00757A1E"/>
    <w:rsid w:val="007630B1"/>
    <w:rsid w:val="007712CD"/>
    <w:rsid w:val="00771BD1"/>
    <w:rsid w:val="007776A6"/>
    <w:rsid w:val="0078711F"/>
    <w:rsid w:val="007B0644"/>
    <w:rsid w:val="007B13FA"/>
    <w:rsid w:val="007B4575"/>
    <w:rsid w:val="007D4461"/>
    <w:rsid w:val="007D767C"/>
    <w:rsid w:val="007E61CC"/>
    <w:rsid w:val="00805C24"/>
    <w:rsid w:val="00813A3D"/>
    <w:rsid w:val="00830AF5"/>
    <w:rsid w:val="00844AA6"/>
    <w:rsid w:val="008462B8"/>
    <w:rsid w:val="00850063"/>
    <w:rsid w:val="0087000C"/>
    <w:rsid w:val="008701B3"/>
    <w:rsid w:val="0087204B"/>
    <w:rsid w:val="00881807"/>
    <w:rsid w:val="008A1C67"/>
    <w:rsid w:val="008A5008"/>
    <w:rsid w:val="008A784F"/>
    <w:rsid w:val="008B3AE9"/>
    <w:rsid w:val="008C0BEF"/>
    <w:rsid w:val="008C5134"/>
    <w:rsid w:val="008D2B09"/>
    <w:rsid w:val="008D5447"/>
    <w:rsid w:val="008E45C2"/>
    <w:rsid w:val="008E7528"/>
    <w:rsid w:val="00905825"/>
    <w:rsid w:val="00931EEA"/>
    <w:rsid w:val="00946D49"/>
    <w:rsid w:val="009515BA"/>
    <w:rsid w:val="00954341"/>
    <w:rsid w:val="00961F04"/>
    <w:rsid w:val="009A0BC4"/>
    <w:rsid w:val="009A57EF"/>
    <w:rsid w:val="009B6C9C"/>
    <w:rsid w:val="009C1218"/>
    <w:rsid w:val="009D09C4"/>
    <w:rsid w:val="009F0A2B"/>
    <w:rsid w:val="00A0432D"/>
    <w:rsid w:val="00A07B27"/>
    <w:rsid w:val="00A35BBF"/>
    <w:rsid w:val="00A41EB6"/>
    <w:rsid w:val="00A428DA"/>
    <w:rsid w:val="00A42B5B"/>
    <w:rsid w:val="00A4684A"/>
    <w:rsid w:val="00A479A0"/>
    <w:rsid w:val="00A731E6"/>
    <w:rsid w:val="00AB4ECE"/>
    <w:rsid w:val="00AF77C5"/>
    <w:rsid w:val="00B02942"/>
    <w:rsid w:val="00B03616"/>
    <w:rsid w:val="00B0665D"/>
    <w:rsid w:val="00B23A11"/>
    <w:rsid w:val="00B439CB"/>
    <w:rsid w:val="00B46DED"/>
    <w:rsid w:val="00B518D4"/>
    <w:rsid w:val="00B51FB5"/>
    <w:rsid w:val="00B662F7"/>
    <w:rsid w:val="00B76549"/>
    <w:rsid w:val="00B901B4"/>
    <w:rsid w:val="00BA430A"/>
    <w:rsid w:val="00BA6202"/>
    <w:rsid w:val="00BB7846"/>
    <w:rsid w:val="00BC784B"/>
    <w:rsid w:val="00BD3079"/>
    <w:rsid w:val="00BD3FC3"/>
    <w:rsid w:val="00BE505D"/>
    <w:rsid w:val="00BF31F7"/>
    <w:rsid w:val="00C13188"/>
    <w:rsid w:val="00C164C6"/>
    <w:rsid w:val="00C21E65"/>
    <w:rsid w:val="00C24D36"/>
    <w:rsid w:val="00C41BCD"/>
    <w:rsid w:val="00C659F8"/>
    <w:rsid w:val="00C7107C"/>
    <w:rsid w:val="00CB0012"/>
    <w:rsid w:val="00CB2759"/>
    <w:rsid w:val="00CD1BCF"/>
    <w:rsid w:val="00CE0D06"/>
    <w:rsid w:val="00CF0103"/>
    <w:rsid w:val="00D1154F"/>
    <w:rsid w:val="00D30DFC"/>
    <w:rsid w:val="00D34EBB"/>
    <w:rsid w:val="00D35BE4"/>
    <w:rsid w:val="00D4058C"/>
    <w:rsid w:val="00D52DA1"/>
    <w:rsid w:val="00D829FF"/>
    <w:rsid w:val="00DA2376"/>
    <w:rsid w:val="00DC7123"/>
    <w:rsid w:val="00DD073D"/>
    <w:rsid w:val="00DE21F3"/>
    <w:rsid w:val="00DF0848"/>
    <w:rsid w:val="00DF2040"/>
    <w:rsid w:val="00E11623"/>
    <w:rsid w:val="00E16CD2"/>
    <w:rsid w:val="00E27DD7"/>
    <w:rsid w:val="00E30203"/>
    <w:rsid w:val="00E33E07"/>
    <w:rsid w:val="00E36E9E"/>
    <w:rsid w:val="00E40216"/>
    <w:rsid w:val="00E57ACB"/>
    <w:rsid w:val="00E62952"/>
    <w:rsid w:val="00E83E50"/>
    <w:rsid w:val="00E86038"/>
    <w:rsid w:val="00EA3DD3"/>
    <w:rsid w:val="00EB72AB"/>
    <w:rsid w:val="00EB7677"/>
    <w:rsid w:val="00EF33A2"/>
    <w:rsid w:val="00F00D4E"/>
    <w:rsid w:val="00F0454E"/>
    <w:rsid w:val="00F070C1"/>
    <w:rsid w:val="00F16773"/>
    <w:rsid w:val="00F200D0"/>
    <w:rsid w:val="00F20FB8"/>
    <w:rsid w:val="00F455AD"/>
    <w:rsid w:val="00F4598F"/>
    <w:rsid w:val="00F544EB"/>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AC8E6D0"/>
  <w15:docId w15:val="{1A5CD573-E092-4E15-A9B1-4E4EB3C9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188"/>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579BF"/>
    <w:rPr>
      <w:color w:val="0000FF"/>
      <w:u w:val="single"/>
    </w:rPr>
  </w:style>
  <w:style w:type="character" w:styleId="FollowedHyperlink">
    <w:name w:val="FollowedHyperlink"/>
    <w:basedOn w:val="DefaultParagraphFont"/>
    <w:rsid w:val="00295C38"/>
    <w:rPr>
      <w:color w:val="800080"/>
      <w:u w:val="single"/>
    </w:rPr>
  </w:style>
  <w:style w:type="character" w:styleId="CommentReference">
    <w:name w:val="annotation reference"/>
    <w:basedOn w:val="DefaultParagraphFont"/>
    <w:uiPriority w:val="99"/>
    <w:unhideWhenUsed/>
    <w:rsid w:val="004B024F"/>
  </w:style>
  <w:style w:type="paragraph" w:styleId="CommentText">
    <w:name w:val="annotation text"/>
    <w:basedOn w:val="Normal"/>
    <w:link w:val="CommentTextChar"/>
    <w:rsid w:val="00844AA6"/>
    <w:rPr>
      <w:sz w:val="20"/>
      <w:szCs w:val="20"/>
    </w:rPr>
  </w:style>
  <w:style w:type="character" w:customStyle="1" w:styleId="CommentTextChar">
    <w:name w:val="Comment Text Char"/>
    <w:basedOn w:val="DefaultParagraphFont"/>
    <w:link w:val="CommentText"/>
    <w:rsid w:val="00844AA6"/>
  </w:style>
  <w:style w:type="paragraph" w:styleId="CommentSubject">
    <w:name w:val="annotation subject"/>
    <w:basedOn w:val="CommentText"/>
    <w:next w:val="CommentText"/>
    <w:link w:val="CommentSubjectChar"/>
    <w:rsid w:val="00844AA6"/>
    <w:rPr>
      <w:b/>
      <w:bCs/>
    </w:rPr>
  </w:style>
  <w:style w:type="character" w:customStyle="1" w:styleId="CommentSubjectChar">
    <w:name w:val="Comment Subject Char"/>
    <w:basedOn w:val="CommentTextChar"/>
    <w:link w:val="CommentSubject"/>
    <w:rsid w:val="00844AA6"/>
    <w:rPr>
      <w:b/>
      <w:bCs/>
    </w:rPr>
  </w:style>
  <w:style w:type="paragraph" w:styleId="BalloonText">
    <w:name w:val="Balloon Text"/>
    <w:basedOn w:val="Normal"/>
    <w:link w:val="BalloonTextChar"/>
    <w:rsid w:val="00844AA6"/>
    <w:rPr>
      <w:rFonts w:ascii="Tahoma" w:hAnsi="Tahoma" w:cs="Tahoma"/>
      <w:sz w:val="16"/>
      <w:szCs w:val="16"/>
    </w:rPr>
  </w:style>
  <w:style w:type="character" w:customStyle="1" w:styleId="BalloonTextChar">
    <w:name w:val="Balloon Text Char"/>
    <w:basedOn w:val="DefaultParagraphFont"/>
    <w:link w:val="BalloonText"/>
    <w:rsid w:val="00844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474">
      <w:bodyDiv w:val="1"/>
      <w:marLeft w:val="0"/>
      <w:marRight w:val="0"/>
      <w:marTop w:val="0"/>
      <w:marBottom w:val="0"/>
      <w:divBdr>
        <w:top w:val="none" w:sz="0" w:space="0" w:color="auto"/>
        <w:left w:val="none" w:sz="0" w:space="0" w:color="auto"/>
        <w:bottom w:val="none" w:sz="0" w:space="0" w:color="auto"/>
        <w:right w:val="none" w:sz="0" w:space="0" w:color="auto"/>
      </w:divBdr>
    </w:div>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669601764">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ashrae-189-1-2020?product_id=2202993" TargetMode="External"/><Relationship Id="rId13" Type="http://schemas.openxmlformats.org/officeDocument/2006/relationships/hyperlink" Target="http://www.ashrae.org/standards-research--technology/standards-addenda" TargetMode="External"/><Relationship Id="rId3" Type="http://schemas.openxmlformats.org/officeDocument/2006/relationships/webSettings" Target="webSettings.xml"/><Relationship Id="rId7" Type="http://schemas.openxmlformats.org/officeDocument/2006/relationships/hyperlink" Target="https://www.ashrae.org/technical-resources/aedgs" TargetMode="External"/><Relationship Id="rId12" Type="http://schemas.openxmlformats.org/officeDocument/2006/relationships/hyperlink" Target="https://www.techstreet.com/ashrae/standards/ashrae-189-1-2020?product_id=220299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shrae.org/technical-resources/aedgs" TargetMode="External"/><Relationship Id="rId11" Type="http://schemas.openxmlformats.org/officeDocument/2006/relationships/hyperlink" Target="http://www.ashrae.org/standards-research--technology/standards-addenda" TargetMode="External"/><Relationship Id="rId5" Type="http://schemas.openxmlformats.org/officeDocument/2006/relationships/hyperlink" Target="https://www.techstreet.com/ashrae/standards/ashrae-90-1-2022-i-p?product_id=2522082" TargetMode="External"/><Relationship Id="rId15" Type="http://schemas.openxmlformats.org/officeDocument/2006/relationships/hyperlink" Target="http://tc0706.ashraetcs.org/" TargetMode="External"/><Relationship Id="rId10" Type="http://schemas.openxmlformats.org/officeDocument/2006/relationships/hyperlink" Target="https://www.techstreet.com/ashrae/standards/ashrae-90-1-2022-i-p?product_id=2522082" TargetMode="External"/><Relationship Id="rId4" Type="http://schemas.openxmlformats.org/officeDocument/2006/relationships/hyperlink" Target="https://www.techstreet.com/ashrae/standards/ashrae-90-1-2022-i-p?product_id=2522082" TargetMode="External"/><Relationship Id="rId9" Type="http://schemas.openxmlformats.org/officeDocument/2006/relationships/hyperlink" Target="http://www.ashrae.org/technology/page/331" TargetMode="External"/><Relationship Id="rId14" Type="http://schemas.openxmlformats.org/officeDocument/2006/relationships/hyperlink" Target="https://www.ashrae.org/technical-resources/ae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4851</CharactersWithSpaces>
  <SharedDoc>false</SharedDoc>
  <HLinks>
    <vt:vector size="72" baseType="variant">
      <vt:variant>
        <vt:i4>3276859</vt:i4>
      </vt:variant>
      <vt:variant>
        <vt:i4>33</vt:i4>
      </vt:variant>
      <vt:variant>
        <vt:i4>0</vt:i4>
      </vt:variant>
      <vt:variant>
        <vt:i4>5</vt:i4>
      </vt:variant>
      <vt:variant>
        <vt:lpwstr>http://tc76.ashraetcs.org/</vt:lpwstr>
      </vt:variant>
      <vt:variant>
        <vt:lpwstr/>
      </vt:variant>
      <vt:variant>
        <vt:i4>2752633</vt:i4>
      </vt:variant>
      <vt:variant>
        <vt:i4>30</vt:i4>
      </vt:variant>
      <vt:variant>
        <vt:i4>0</vt:i4>
      </vt:variant>
      <vt:variant>
        <vt:i4>5</vt:i4>
      </vt:variant>
      <vt:variant>
        <vt:lpwstr>http://www.ashrae.org/standards-research--technology/advanced-energy-design-guides</vt:lpwstr>
      </vt:variant>
      <vt:variant>
        <vt:lpwstr/>
      </vt:variant>
      <vt:variant>
        <vt:i4>3932271</vt:i4>
      </vt:variant>
      <vt:variant>
        <vt:i4>27</vt:i4>
      </vt:variant>
      <vt:variant>
        <vt:i4>0</vt:i4>
      </vt:variant>
      <vt:variant>
        <vt:i4>5</vt:i4>
      </vt:variant>
      <vt:variant>
        <vt:lpwstr>http://www.ashrae.org/standards-research--technology/standards-addenda</vt:lpwstr>
      </vt:variant>
      <vt:variant>
        <vt:lpwstr/>
      </vt:variant>
      <vt:variant>
        <vt:i4>2621513</vt:i4>
      </vt:variant>
      <vt:variant>
        <vt:i4>24</vt:i4>
      </vt:variant>
      <vt:variant>
        <vt:i4>0</vt:i4>
      </vt:variant>
      <vt:variant>
        <vt:i4>5</vt:i4>
      </vt:variant>
      <vt:variant>
        <vt:lpwstr>http://www.techstreet.com/standards/ashrae/189_1_2011?product_id=1820547</vt:lpwstr>
      </vt:variant>
      <vt:variant>
        <vt:lpwstr/>
      </vt:variant>
      <vt:variant>
        <vt:i4>3932271</vt:i4>
      </vt:variant>
      <vt:variant>
        <vt:i4>21</vt:i4>
      </vt:variant>
      <vt:variant>
        <vt:i4>0</vt:i4>
      </vt:variant>
      <vt:variant>
        <vt:i4>5</vt:i4>
      </vt:variant>
      <vt:variant>
        <vt:lpwstr>http://www.ashrae.org/standards-research--technology/standards-addenda</vt:lpwstr>
      </vt:variant>
      <vt:variant>
        <vt:lpwstr/>
      </vt:variant>
      <vt:variant>
        <vt:i4>3276845</vt:i4>
      </vt:variant>
      <vt:variant>
        <vt:i4>18</vt:i4>
      </vt:variant>
      <vt:variant>
        <vt:i4>0</vt:i4>
      </vt:variant>
      <vt:variant>
        <vt:i4>5</vt:i4>
      </vt:variant>
      <vt:variant>
        <vt:lpwstr>http://www.techstreet.com/standards/ashrae/90_1_2010_i_p_?product_id=1739526</vt:lpwstr>
      </vt:variant>
      <vt:variant>
        <vt:lpwstr/>
      </vt:variant>
      <vt:variant>
        <vt:i4>5177430</vt:i4>
      </vt:variant>
      <vt:variant>
        <vt:i4>15</vt:i4>
      </vt:variant>
      <vt:variant>
        <vt:i4>0</vt:i4>
      </vt:variant>
      <vt:variant>
        <vt:i4>5</vt:i4>
      </vt:variant>
      <vt:variant>
        <vt:lpwstr>http://www.ashrae.org/technology/page/331</vt:lpwstr>
      </vt:variant>
      <vt:variant>
        <vt:lpwstr/>
      </vt:variant>
      <vt:variant>
        <vt:i4>2621513</vt:i4>
      </vt:variant>
      <vt:variant>
        <vt:i4>12</vt:i4>
      </vt:variant>
      <vt:variant>
        <vt:i4>0</vt:i4>
      </vt:variant>
      <vt:variant>
        <vt:i4>5</vt:i4>
      </vt:variant>
      <vt:variant>
        <vt:lpwstr>http://www.techstreet.com/standards/ashrae/189_1_2011?product_id=1820547</vt:lpwstr>
      </vt:variant>
      <vt:variant>
        <vt:lpwstr/>
      </vt:variant>
      <vt:variant>
        <vt:i4>1048656</vt:i4>
      </vt:variant>
      <vt:variant>
        <vt:i4>9</vt:i4>
      </vt:variant>
      <vt:variant>
        <vt:i4>0</vt:i4>
      </vt:variant>
      <vt:variant>
        <vt:i4>5</vt:i4>
      </vt:variant>
      <vt:variant>
        <vt:lpwstr>http://www.ashrae.org/standards-research--technology/aedg-technical-support-documents</vt:lpwstr>
      </vt:variant>
      <vt:variant>
        <vt:lpwstr/>
      </vt:variant>
      <vt:variant>
        <vt:i4>2752633</vt:i4>
      </vt:variant>
      <vt:variant>
        <vt:i4>6</vt:i4>
      </vt:variant>
      <vt:variant>
        <vt:i4>0</vt:i4>
      </vt:variant>
      <vt:variant>
        <vt:i4>5</vt:i4>
      </vt:variant>
      <vt:variant>
        <vt:lpwstr>http://www.ashrae.org/standards-research--technology/advanced-energy-design-guides</vt:lpwstr>
      </vt:variant>
      <vt:variant>
        <vt:lpwstr/>
      </vt:variant>
      <vt:variant>
        <vt:i4>3276845</vt:i4>
      </vt:variant>
      <vt:variant>
        <vt:i4>3</vt:i4>
      </vt:variant>
      <vt:variant>
        <vt:i4>0</vt:i4>
      </vt:variant>
      <vt:variant>
        <vt:i4>5</vt:i4>
      </vt:variant>
      <vt:variant>
        <vt:lpwstr>http://www.techstreet.com/standards/ashrae/90_1_2010_i_p_?product_id=1739526</vt:lpwstr>
      </vt:variant>
      <vt:variant>
        <vt:lpwstr/>
      </vt:variant>
      <vt:variant>
        <vt:i4>3276845</vt:i4>
      </vt:variant>
      <vt:variant>
        <vt:i4>0</vt:i4>
      </vt:variant>
      <vt:variant>
        <vt:i4>0</vt:i4>
      </vt:variant>
      <vt:variant>
        <vt:i4>5</vt:i4>
      </vt:variant>
      <vt:variant>
        <vt:lpwstr>http://www.techstreet.com/standards/ashrae/90_1_2010_i_p_?product_id=1739526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creator>shammerling</dc:creator>
  <cp:lastModifiedBy>Hammerling, Steve</cp:lastModifiedBy>
  <cp:revision>6</cp:revision>
  <cp:lastPrinted>2014-05-27T12:56:00Z</cp:lastPrinted>
  <dcterms:created xsi:type="dcterms:W3CDTF">2015-01-09T18:38:00Z</dcterms:created>
  <dcterms:modified xsi:type="dcterms:W3CDTF">2023-10-19T21:06:00Z</dcterms:modified>
</cp:coreProperties>
</file>